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Management and Entrepreneurship — General Information</w:t>
      </w:r>
    </w:p>
    <w:p>
      <w:pPr>
        <w:spacing w:before="0" w:after="280"/>
      </w:pPr>
      <w:r>
        <w:rPr>
          <w:rFonts w:ascii="Calibri" w:hAnsi="Calibri"/>
          <w:i/>
          <w:color w:val="666666"/>
          <w:sz w:val="20"/>
        </w:rPr>
        <w:t>Indian Institute of Technology Jodhpur  |  Category: schools/management_and_entrepreneurship</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Management and Entrepreneurship — General Information at Indian Institute of Technology Jodhpur.</w:t>
      </w:r>
    </w:p>
    <w:p>
      <w:pPr>
        <w:keepNext/>
        <w:spacing w:before="280" w:after="80"/>
      </w:pPr>
      <w:r>
        <w:rPr>
          <w:rFonts w:ascii="Calibri" w:hAnsi="Calibri"/>
          <w:color w:val="003366"/>
          <w:sz w:val="26"/>
        </w:rPr>
        <w:t>Mission</w:t>
      </w:r>
    </w:p>
    <w:p>
      <w:pPr>
        <w:pStyle w:val="ListNumber"/>
        <w:spacing w:before="20" w:after="40"/>
      </w:pPr>
      <w:r>
        <w:rPr>
          <w:rFonts w:ascii="Calibri" w:hAnsi="Calibri"/>
          <w:sz w:val="20"/>
        </w:rPr>
        <w:t>To be a management school of choice for graduates, researchers, and employers, looking for techno-managerial expertise.</w:t>
      </w:r>
    </w:p>
    <w:p>
      <w:pPr>
        <w:pStyle w:val="ListNumber"/>
        <w:spacing w:before="20" w:after="40"/>
      </w:pPr>
      <w:r>
        <w:rPr>
          <w:rFonts w:ascii="Calibri" w:hAnsi="Calibri"/>
          <w:sz w:val="20"/>
        </w:rPr>
        <w:t>To be amongst the top 20 institutions in the NIRF rankings for Management Schools in India by 2030.</w:t>
      </w:r>
    </w:p>
    <w:p>
      <w:pPr>
        <w:pStyle w:val="ListNumber"/>
        <w:spacing w:before="20" w:after="40"/>
      </w:pPr>
      <w:r>
        <w:rPr>
          <w:rFonts w:ascii="Calibri" w:hAnsi="Calibri"/>
          <w:sz w:val="20"/>
        </w:rPr>
        <w:t>To create a vibrant management school based on the three pillars of teaching, research, and industry collaboration.</w:t>
      </w:r>
    </w:p>
    <w:p>
      <w:pPr>
        <w:pStyle w:val="ListNumber"/>
        <w:spacing w:before="20" w:after="40"/>
      </w:pPr>
      <w:r>
        <w:rPr>
          <w:rFonts w:ascii="Calibri" w:hAnsi="Calibri"/>
          <w:sz w:val="20"/>
        </w:rPr>
        <w:t>To be a leader in the world for studies on the futuristic coalition of technology and management.</w:t>
      </w:r>
    </w:p>
    <w:p>
      <w:pPr>
        <w:pStyle w:val="ListNumber"/>
        <w:spacing w:before="20" w:after="40"/>
      </w:pPr>
      <w:r>
        <w:rPr>
          <w:rFonts w:ascii="Calibri" w:hAnsi="Calibri"/>
          <w:sz w:val="20"/>
        </w:rPr>
        <w:t>To promote and support entrepreneurship as a practical vocation and conduct research to enhance entrepreneurial capability in the nation and beyond.</w:t>
      </w:r>
    </w:p>
    <w:p>
      <w:pPr>
        <w:pStyle w:val="ListNumber"/>
        <w:spacing w:before="20" w:after="40"/>
      </w:pPr>
      <w:r>
        <w:rPr>
          <w:rFonts w:ascii="Calibri" w:hAnsi="Calibri"/>
          <w:sz w:val="20"/>
        </w:rPr>
        <w:t>To prepare socially responsible future leaders working with high values of ethics, inclusivity, and foresight for the development of the nation and humanity as a whole.</w:t>
      </w:r>
    </w:p>
    <w:p>
      <w:pPr>
        <w:keepNext/>
        <w:spacing w:before="280" w:after="80"/>
      </w:pPr>
      <w:r>
        <w:rPr>
          <w:rFonts w:ascii="Calibri" w:hAnsi="Calibri"/>
          <w:color w:val="003366"/>
          <w:sz w:val="26"/>
        </w:rPr>
        <w:t>Industry Interaction</w:t>
      </w:r>
    </w:p>
    <w:p>
      <w:pPr>
        <w:spacing w:before="0" w:after="100" w:line="276" w:lineRule="auto"/>
      </w:pPr>
      <w:r>
        <w:rPr>
          <w:rFonts w:ascii="Calibri" w:hAnsi="Calibri"/>
          <w:sz w:val="20"/>
        </w:rPr>
        <w:t>At SME | IIT Jodhpur we ensure that practice meets theory across all disciplines. Through the Leadership Talk Series at SME | IIT Jodhpur, we aim to bridge the gap between classroom learning and the ground realities of the business world by inviting industry experts, academic luminaries and entrepreneurs to share their vast array of hard-earned experiences. Students have many opportunities for engagement with industry leaders throughout the year. The initiative aims to have eminent personalities from the business world, share their experience and guide students who aspire to become leaders in the future. These interactions are spread over the course of the entire year and the guest speakers cover both technical and soft-skills during their sessions.</w:t>
      </w:r>
    </w:p>
    <w:p>
      <w:pPr>
        <w:spacing w:before="0" w:after="100" w:line="276" w:lineRule="auto"/>
      </w:pPr>
      <w:r>
        <w:rPr>
          <w:rFonts w:ascii="Calibri" w:hAnsi="Calibri"/>
          <w:sz w:val="20"/>
        </w:rPr>
        <w:t>The Corporate Relations Team conducts a series of value-driven sessions to prepare MBA students of SME IIT Jodhpur for a successful corporate journey ahead, making them ready for summer internship, final placement, and live project opportunity. These sessions are designed to provide clarity, capability, and industry exposure, ensuring students are well-informed and industry-ready as per Industry 4.0.</w:t>
      </w:r>
    </w:p>
    <w:p>
      <w:pPr>
        <w:spacing w:before="0" w:after="100" w:line="276" w:lineRule="auto"/>
      </w:pPr>
      <w:r>
        <w:rPr>
          <w:rFonts w:ascii="Calibri" w:hAnsi="Calibri"/>
          <w:b/>
          <w:sz w:val="20"/>
        </w:rPr>
        <w:t>Leadership Talk:</w:t>
      </w:r>
      <w:r>
        <w:rPr>
          <w:rFonts w:ascii="Calibri" w:hAnsi="Calibri"/>
          <w:sz w:val="20"/>
        </w:rPr>
        <w:t xml:space="preserve"> Enables students to learn from experienced industry leaders as they share insights from their professional journeys across multiple roles, domains, and industries, offering practical perspectives on leadership, decision-making, and career growth.</w:t>
      </w:r>
    </w:p>
    <w:p>
      <w:pPr>
        <w:spacing w:before="0" w:after="100" w:line="276" w:lineRule="auto"/>
      </w:pPr>
      <w:r>
        <w:rPr>
          <w:rFonts w:ascii="Calibri" w:hAnsi="Calibri"/>
          <w:b/>
          <w:sz w:val="20"/>
        </w:rPr>
        <w:t>Capability Session:</w:t>
      </w:r>
      <w:r>
        <w:rPr>
          <w:rFonts w:ascii="Calibri" w:hAnsi="Calibri"/>
          <w:sz w:val="20"/>
        </w:rPr>
        <w:t xml:space="preserve"> Focuses on personal and professional development by helping students enhance communication skills, build strong resumes, understand corporate expectations, and prepare themselves to be industry-ready.</w:t>
      </w:r>
    </w:p>
    <w:p>
      <w:pPr>
        <w:spacing w:before="0" w:after="100" w:line="276" w:lineRule="auto"/>
      </w:pPr>
      <w:r>
        <w:rPr>
          <w:rFonts w:ascii="Calibri" w:hAnsi="Calibri"/>
          <w:b/>
          <w:sz w:val="20"/>
        </w:rPr>
        <w:t>Pre-Placement Talk (PPT):</w:t>
      </w:r>
      <w:r>
        <w:rPr>
          <w:rFonts w:ascii="Calibri" w:hAnsi="Calibri"/>
          <w:sz w:val="20"/>
        </w:rPr>
        <w:t xml:space="preserve"> Helps students gain a clear understanding of the company, including role expectations, career trajectory, growth opportunities, compensation structure, work culture, and what professional life at the organization will look like in the long run.</w:t>
      </w:r>
    </w:p>
    <w:p>
      <w:pPr>
        <w:spacing w:before="0" w:after="100" w:line="276" w:lineRule="auto"/>
      </w:pPr>
      <w:r>
        <w:rPr>
          <w:rFonts w:ascii="Calibri" w:hAnsi="Calibri"/>
          <w:b/>
          <w:sz w:val="20"/>
        </w:rPr>
        <w:t>Industry Talk:</w:t>
      </w:r>
      <w:r>
        <w:rPr>
          <w:rFonts w:ascii="Calibri" w:hAnsi="Calibri"/>
          <w:sz w:val="20"/>
        </w:rPr>
        <w:t xml:space="preserve"> Provides students with in-depth knowledge of specific industries, covering current trends, growth prospects, challenges, and emerging opportunities, thereby bridging the gap between classroom learning and industry realities.</w:t>
      </w:r>
    </w:p>
    <w:p>
      <w:pPr>
        <w:keepNext/>
        <w:spacing w:before="280" w:after="80"/>
      </w:pPr>
      <w:r>
        <w:rPr>
          <w:rFonts w:ascii="Calibri" w:hAnsi="Calibri"/>
          <w:color w:val="003366"/>
          <w:sz w:val="26"/>
        </w:rPr>
        <w:t>Pre Interview Interaction and Corporate Presentation</w:t>
      </w:r>
    </w:p>
    <w:p>
      <w:pPr>
        <w:spacing w:before="0" w:after="100" w:line="276" w:lineRule="auto"/>
      </w:pPr>
      <w:r>
        <w:rPr>
          <w:rFonts w:ascii="Calibri" w:hAnsi="Calibri"/>
          <w:sz w:val="20"/>
        </w:rPr>
        <w:t>Organizations are formally invited to participate in the placement process. Recruiters visit the campus for delivering Pre- Placement talks to the students. The Talks are interactive sessions broadly covering a wide spectrum of aspects like company profile, core values, job descriptions, career growth plan, selection procedure and emoluments offered.</w:t>
      </w:r>
    </w:p>
    <w:p>
      <w:pPr>
        <w:keepNext/>
        <w:spacing w:before="280" w:after="80"/>
      </w:pPr>
      <w:r>
        <w:rPr>
          <w:rFonts w:ascii="Calibri" w:hAnsi="Calibri"/>
          <w:color w:val="003366"/>
          <w:sz w:val="26"/>
        </w:rPr>
        <w:t>1. Eligibility Criterion</w:t>
      </w:r>
    </w:p>
    <w:p>
      <w:pPr>
        <w:spacing w:before="0" w:after="100" w:line="276" w:lineRule="auto"/>
      </w:pPr>
      <w:r>
        <w:rPr>
          <w:rFonts w:ascii="Calibri" w:hAnsi="Calibri"/>
          <w:b/>
          <w:sz w:val="20"/>
        </w:rPr>
        <w:t>A. Qualifying degree:</w:t>
      </w:r>
      <w:r>
        <w:rPr>
          <w:rFonts w:ascii="Calibri" w:hAnsi="Calibri"/>
          <w:sz w:val="20"/>
        </w:rPr>
        <w:t xml:space="preserve"> A minimum of a Bachelor’s Degree or an equivalent qualification awarded by any university established by an Act of the central or state legislature in India, or by other educational institutions established by an Act of Parliament, or recognised as a deemed university under Section 3 of the UGC Act, 1956. Additionally, the Bachelor’s degree or equivalent must entail a minimum of three years of education following the completion of higher secondary schooling (10+2) or its equivalent.</w:t>
      </w:r>
    </w:p>
    <w:p>
      <w:pPr>
        <w:spacing w:before="0" w:after="100" w:line="276" w:lineRule="auto"/>
      </w:pPr>
      <w:r>
        <w:rPr>
          <w:rFonts w:ascii="Calibri" w:hAnsi="Calibri"/>
          <w:b/>
          <w:sz w:val="20"/>
        </w:rPr>
        <w:t>Note:</w:t>
      </w:r>
      <w:r>
        <w:rPr>
          <w:rFonts w:ascii="Calibri" w:hAnsi="Calibri"/>
          <w:sz w:val="20"/>
        </w:rPr>
        <w:t xml:space="preserve"> Final-year students of the qualifying degree are also eligible to apply. Such candidates, if selected, will be admitted provisionally on the condition that they meet all requirements of the qualifying degree. The candidate must submit all certificates related to the qualifying degree up to the current completed semesters/years. Additionally, the candidate must provide a provisional certificate of completion of the qualifying degree within two months of joining the program (if selected). Failure to meet these requirements will lead to the cancellation of the candidature for the program.</w:t>
      </w:r>
    </w:p>
    <w:p>
      <w:pPr>
        <w:spacing w:before="0" w:after="100" w:line="276" w:lineRule="auto"/>
      </w:pPr>
      <w:r>
        <w:rPr>
          <w:rFonts w:ascii="Calibri" w:hAnsi="Calibri"/>
          <w:b/>
          <w:sz w:val="20"/>
        </w:rPr>
        <w:t>B. Minimum percentage of marks in the qualifying degree:</w:t>
      </w:r>
    </w:p>
    <w:p>
      <w:pPr>
        <w:spacing w:before="0" w:after="100" w:line="276" w:lineRule="auto"/>
      </w:pPr>
      <w:r>
        <w:rPr>
          <w:rFonts w:ascii="Calibri" w:hAnsi="Calibri"/>
          <w:sz w:val="20"/>
        </w:rPr>
        <w:t>(i) A minimum of 60% marks in aggregate (of all the years/semesters), which should be equivalent to first class in the university conversion rule. This is applicable for General/OBC/EWS categories.</w:t>
      </w:r>
    </w:p>
    <w:p>
      <w:pPr>
        <w:spacing w:before="0" w:after="100" w:line="276" w:lineRule="auto"/>
      </w:pPr>
      <w:r>
        <w:rPr>
          <w:rFonts w:ascii="Calibri" w:hAnsi="Calibri"/>
          <w:sz w:val="20"/>
        </w:rPr>
        <w:t>(or)</w:t>
      </w:r>
    </w:p>
    <w:p>
      <w:pPr>
        <w:spacing w:before="0" w:after="100" w:line="276" w:lineRule="auto"/>
      </w:pPr>
      <w:r>
        <w:rPr>
          <w:rFonts w:ascii="Calibri" w:hAnsi="Calibri"/>
          <w:sz w:val="20"/>
        </w:rPr>
        <w:t>(ii). 6.0 CGPA (Cumulative Grade Point Average) on a 10-point scale, which should be equivalent to first class in the university conversion rule. This is applicable for General/OBC/EWS categories.</w:t>
      </w:r>
    </w:p>
    <w:p>
      <w:pPr>
        <w:spacing w:before="0" w:after="100" w:line="276" w:lineRule="auto"/>
      </w:pPr>
      <w:r>
        <w:rPr>
          <w:rFonts w:ascii="Calibri" w:hAnsi="Calibri"/>
          <w:b/>
          <w:sz w:val="20"/>
        </w:rPr>
        <w:t>Note:</w:t>
      </w:r>
    </w:p>
    <w:p>
      <w:pPr>
        <w:pStyle w:val="ListNumber"/>
        <w:spacing w:before="20" w:after="40"/>
      </w:pPr>
      <w:r>
        <w:rPr>
          <w:rFonts w:ascii="Calibri" w:hAnsi="Calibri"/>
          <w:sz w:val="20"/>
        </w:rPr>
        <w:t>The admission eligibility requirements may be relaxed for a qualifying degree by 5% on point B(i) for SC, ST and PwD candidates.</w:t>
      </w:r>
    </w:p>
    <w:p>
      <w:pPr>
        <w:pStyle w:val="ListNumber"/>
        <w:spacing w:before="20" w:after="40"/>
      </w:pPr>
      <w:r>
        <w:rPr>
          <w:rFonts w:ascii="Calibri" w:hAnsi="Calibri"/>
          <w:sz w:val="20"/>
        </w:rPr>
        <w:t>The admission eligibility requirements may be relaxed for a qualifying degree by 0.5 (on a 10-point scale) on point B(ii) for SC, ST and PwD candidates.</w:t>
      </w:r>
    </w:p>
    <w:p>
      <w:pPr>
        <w:pStyle w:val="ListNumber"/>
        <w:spacing w:before="20" w:after="40"/>
      </w:pPr>
      <w:r>
        <w:rPr>
          <w:rFonts w:ascii="Calibri" w:hAnsi="Calibri"/>
          <w:sz w:val="20"/>
        </w:rPr>
        <w:t>The above relaxation shall be considered only as Qualifying Criteria.</w:t>
      </w:r>
    </w:p>
    <w:p>
      <w:pPr>
        <w:spacing w:before="0" w:after="100" w:line="276" w:lineRule="auto"/>
      </w:pPr>
      <w:r>
        <w:rPr>
          <w:rFonts w:ascii="Calibri" w:hAnsi="Calibri"/>
          <w:b/>
          <w:sz w:val="20"/>
        </w:rPr>
        <w:t>C.</w:t>
      </w:r>
      <w:r>
        <w:rPr>
          <w:rFonts w:ascii="Calibri" w:hAnsi="Calibri"/>
          <w:sz w:val="20"/>
        </w:rPr>
        <w:t xml:space="preserve"> A valid score in the Common Admission Test (CAT) 2025 conducted by the Indian Institutes of Management.</w:t>
      </w:r>
    </w:p>
    <w:p>
      <w:pPr>
        <w:keepNext/>
        <w:spacing w:before="280" w:after="80"/>
      </w:pPr>
      <w:r>
        <w:rPr>
          <w:rFonts w:ascii="Calibri" w:hAnsi="Calibri"/>
          <w:color w:val="003366"/>
          <w:sz w:val="26"/>
        </w:rPr>
        <w:t>PhD</w:t>
      </w:r>
    </w:p>
    <w:p>
      <w:pPr>
        <w:spacing w:before="0" w:after="100" w:line="276" w:lineRule="auto"/>
      </w:pPr>
      <w:r>
        <w:rPr>
          <w:rFonts w:ascii="Calibri" w:hAnsi="Calibri"/>
          <w:b/>
          <w:sz w:val="20"/>
        </w:rPr>
        <w:t>i) Eligibility</w:t>
      </w:r>
    </w:p>
    <w:p>
      <w:pPr>
        <w:keepNext/>
        <w:spacing w:before="280" w:after="80"/>
      </w:pPr>
      <w:r>
        <w:rPr>
          <w:rFonts w:ascii="Calibri" w:hAnsi="Calibri"/>
          <w:color w:val="003366"/>
          <w:sz w:val="26"/>
        </w:rPr>
        <w:t>Post-placement Process</w:t>
      </w:r>
    </w:p>
    <w:p>
      <w:pPr>
        <w:spacing w:before="0" w:after="100" w:line="276" w:lineRule="auto"/>
      </w:pPr>
      <w:r>
        <w:rPr>
          <w:rFonts w:ascii="Calibri" w:hAnsi="Calibri"/>
          <w:sz w:val="20"/>
        </w:rPr>
        <w:t>Once a company has made an offer as part of the campus placement process, a candidate is bound to accept/reject the offer within a stipulated time frame. When a candidate accepts/rejects an offer, he/she automatically opts out of the placement process and ceases to be part of the pool of candidates available to companies. The HR managers at the respective companies then take over to guide candidates through the induction and joining process.</w:t>
      </w:r>
    </w:p>
    <w:p>
      <w:pPr>
        <w:spacing w:before="0" w:after="100" w:line="276" w:lineRule="auto"/>
      </w:pPr>
      <w:r>
        <w:rPr>
          <w:rFonts w:ascii="Calibri" w:hAnsi="Calibri"/>
          <w:b/>
          <w:sz w:val="20"/>
        </w:rPr>
        <w:t>NOTE:</w:t>
      </w:r>
      <w:r>
        <w:rPr>
          <w:rFonts w:ascii="Calibri" w:hAnsi="Calibri"/>
          <w:sz w:val="20"/>
        </w:rPr>
        <w:t xml:space="preserve"> No charges are levied on companies for participation in the placement process at SME, IIT Jodhpur.</w:t>
      </w:r>
    </w:p>
    <w:p>
      <w:pPr>
        <w:keepNext/>
        <w:spacing w:before="280" w:after="80"/>
      </w:pPr>
      <w:r>
        <w:rPr>
          <w:rFonts w:ascii="Calibri" w:hAnsi="Calibri"/>
          <w:color w:val="003366"/>
          <w:sz w:val="26"/>
        </w:rPr>
        <w:t>4. Candidates Joining while Retaining Employment with their Current Employer</w:t>
      </w:r>
    </w:p>
    <w:p>
      <w:pPr>
        <w:spacing w:before="0" w:after="100" w:line="276" w:lineRule="auto"/>
      </w:pPr>
      <w:r>
        <w:rPr>
          <w:rFonts w:ascii="Calibri" w:hAnsi="Calibri"/>
          <w:sz w:val="20"/>
        </w:rPr>
        <w:t>Any candidate joining the MBA program at SME, IIT Jodhpur, who is on study leave, sabbatical, or higher study leave, must submit a No Objection Certificate (NOC) from their employer. The NOC should either state that the employer has no objection to the candidate applying for a summer internship or final placement with another organisation, or confirm that the candidate is required to undertake the summer internship exclusively with the employer and return to the same organisation after completing the program.</w:t>
      </w:r>
    </w:p>
    <w:p>
      <w:pPr>
        <w:keepNext/>
        <w:spacing w:before="280" w:after="80"/>
      </w:pPr>
      <w:r>
        <w:rPr>
          <w:rFonts w:ascii="Calibri" w:hAnsi="Calibri"/>
          <w:color w:val="003366"/>
          <w:sz w:val="26"/>
        </w:rPr>
        <w:t>1. For Indian Students</w:t>
      </w:r>
    </w:p>
    <w:p>
      <w:pPr>
        <w:spacing w:before="0" w:after="100" w:line="276" w:lineRule="auto"/>
      </w:pPr>
      <w:r>
        <w:rPr>
          <w:rFonts w:ascii="Calibri" w:hAnsi="Calibri"/>
          <w:b/>
          <w:sz w:val="20"/>
        </w:rPr>
        <w:t>A. Program Fee Structure (2026-2028)</w:t>
      </w:r>
    </w:p>
    <w:p>
      <w:pPr>
        <w:pStyle w:val="ListBullet"/>
        <w:spacing w:before="20" w:after="40"/>
      </w:pPr>
      <w:r>
        <w:rPr>
          <w:rFonts w:ascii="Calibri" w:hAnsi="Calibri"/>
          <w:sz w:val="20"/>
        </w:rPr>
        <w:t>The tuition fee for the program is INR 2,25,000/- per semester. In addition to the tuition fee, students are required to pay the semester fee, admission fee (one-time), convocation fee (one-time), refundable deposits (one-time), dining fee, and any other applicable charges.</w:t>
      </w:r>
    </w:p>
    <w:p>
      <w:pPr>
        <w:pStyle w:val="ListBullet"/>
        <w:spacing w:before="20" w:after="40"/>
      </w:pPr>
      <w:r>
        <w:rPr>
          <w:rFonts w:ascii="Calibri" w:hAnsi="Calibri"/>
          <w:sz w:val="20"/>
        </w:rPr>
        <w:t>Students opting for the international dual degree program in their second year are required to pay the day-scholar fees at IIT Jodhpur, as well as any other applicable fees at the Partner Institute.</w:t>
      </w:r>
    </w:p>
    <w:p>
      <w:pPr>
        <w:spacing w:before="0" w:after="100" w:line="276" w:lineRule="auto"/>
      </w:pPr>
      <w:r>
        <w:rPr>
          <w:rFonts w:ascii="Calibri" w:hAnsi="Calibri"/>
          <w:b/>
          <w:sz w:val="20"/>
        </w:rPr>
        <w:t>Note:</w:t>
      </w:r>
      <w:r>
        <w:rPr>
          <w:rFonts w:ascii="Calibri" w:hAnsi="Calibri"/>
          <w:sz w:val="20"/>
        </w:rPr>
        <w:t xml:space="preserve"> Students from SC, ST, and PwD categories are exempt from paying the tuition fee, as per government norms, amended from time to time. However, they are still required to pay all other charges mentioned above. * The components of the semester fee are subject to change from time to time.</w:t>
      </w:r>
    </w:p>
    <w:p>
      <w:pPr>
        <w:spacing w:before="0" w:after="100" w:line="276" w:lineRule="auto"/>
      </w:pPr>
      <w:r>
        <w:rPr>
          <w:rFonts w:ascii="Calibri" w:hAnsi="Calibri"/>
          <w:b/>
          <w:sz w:val="20"/>
        </w:rPr>
        <w:t>B. Student Intake</w:t>
      </w:r>
    </w:p>
    <w:p>
      <w:pPr>
        <w:spacing w:before="0" w:after="100" w:line="276" w:lineRule="auto"/>
      </w:pPr>
      <w:r>
        <w:rPr>
          <w:rFonts w:ascii="Calibri" w:hAnsi="Calibri"/>
          <w:sz w:val="20"/>
        </w:rPr>
        <w:t>The intake of the program is 80.</w:t>
      </w:r>
    </w:p>
    <w:p>
      <w:pPr>
        <w:spacing w:before="0" w:after="100" w:line="276" w:lineRule="auto"/>
      </w:pPr>
      <w:r>
        <w:rPr>
          <w:rFonts w:ascii="Calibri" w:hAnsi="Calibri"/>
          <w:b/>
          <w:sz w:val="20"/>
        </w:rPr>
        <w:t>Note:</w:t>
      </w:r>
      <w:r>
        <w:rPr>
          <w:rFonts w:ascii="Calibri" w:hAnsi="Calibri"/>
          <w:sz w:val="20"/>
        </w:rPr>
        <w:t xml:space="preserve"> Norms of the Ministry of Education, Government of India, shall be adhered to for the category-wise breakup.</w:t>
      </w:r>
    </w:p>
    <w:p>
      <w:pPr>
        <w:pStyle w:val="ListBullet"/>
        <w:spacing w:before="20" w:after="40"/>
      </w:pPr>
      <w:r>
        <w:rPr>
          <w:rFonts w:ascii="Calibri" w:hAnsi="Calibri"/>
          <w:sz w:val="20"/>
        </w:rPr>
        <w:t xml:space="preserve">Visit the Application Portal at: </w:t>
      </w:r>
      <w:hyperlink r:id="rId9">
        <w:r>
          <w:rPr>
            <w:color w:val="004B87"/>
            <w:u w:val="single"/>
          </w:rPr>
          <w:t xml:space="preserve">Click here</w:t>
        </w:r>
      </w:hyperlink>
      <w:r>
        <w:rPr>
          <w:rFonts w:ascii="Calibri" w:hAnsi="Calibri"/>
          <w:sz w:val="20"/>
        </w:rPr>
        <w:t>.</w:t>
      </w:r>
    </w:p>
    <w:p>
      <w:pPr>
        <w:pStyle w:val="ListBullet"/>
        <w:spacing w:before="20" w:after="40"/>
      </w:pPr>
      <w:r>
        <w:rPr>
          <w:rFonts w:ascii="Calibri" w:hAnsi="Calibri"/>
          <w:sz w:val="20"/>
        </w:rPr>
        <w:t>The non-refundable application fee is INR 1,200 for Unreserved/OBC-NCL/EWS categories, and INR 600 for SC/ST/PwD categories.</w:t>
      </w:r>
    </w:p>
    <w:p>
      <w:pPr>
        <w:pStyle w:val="ListBullet"/>
        <w:spacing w:before="20" w:after="40"/>
      </w:pPr>
      <w:r>
        <w:rPr>
          <w:rFonts w:ascii="Calibri" w:hAnsi="Calibri"/>
          <w:sz w:val="20"/>
        </w:rPr>
        <w:t xml:space="preserve">Applicants may contact us using </w:t>
      </w:r>
      <w:r>
        <w:rPr>
          <w:rFonts w:ascii="Calibri" w:hAnsi="Calibri"/>
          <w:b/>
          <w:sz w:val="20"/>
        </w:rPr>
        <w:t>erp@iitj.ac.in</w:t>
      </w:r>
      <w:r>
        <w:rPr>
          <w:rFonts w:ascii="Calibri" w:hAnsi="Calibri"/>
          <w:sz w:val="20"/>
        </w:rPr>
        <w:t xml:space="preserve"> email ID for technical issues.</w:t>
      </w:r>
    </w:p>
    <w:p>
      <w:pPr>
        <w:spacing w:before="0" w:after="100" w:line="276" w:lineRule="auto"/>
      </w:pPr>
      <w:r>
        <w:rPr>
          <w:rFonts w:ascii="Calibri" w:hAnsi="Calibri"/>
          <w:b/>
          <w:sz w:val="20"/>
        </w:rPr>
        <w:t>Note:</w:t>
      </w:r>
      <w:r>
        <w:rPr>
          <w:rFonts w:ascii="Calibri" w:hAnsi="Calibri"/>
          <w:sz w:val="20"/>
        </w:rPr>
        <w:t xml:space="preserve"> Incomplete application forms will not be considered for the MBA program.</w:t>
      </w:r>
    </w:p>
    <w:p>
      <w:pPr>
        <w:keepNext/>
        <w:spacing w:before="280" w:after="80"/>
      </w:pPr>
      <w:r>
        <w:rPr>
          <w:rFonts w:ascii="Calibri" w:hAnsi="Calibri"/>
          <w:color w:val="003366"/>
          <w:sz w:val="26"/>
        </w:rPr>
        <w:t>Financial Aid</w:t>
      </w:r>
    </w:p>
    <w:p>
      <w:pPr>
        <w:pStyle w:val="ListNumber"/>
        <w:spacing w:before="20" w:after="40"/>
      </w:pPr>
      <w:r>
        <w:rPr>
          <w:rFonts w:ascii="Calibri" w:hAnsi="Calibri"/>
          <w:sz w:val="20"/>
        </w:rPr>
        <w:t>A regular Ph.D. student admitted to the Institute will be eligible for financial assistance as per the norms of SME IIT Jodhpur. A candidate having a B.Tech /B.S. (four-year program)/Master's degree with GATE/NET(JRF)/NBHM (or equivalent) can have financial assistance as per MHRD norms/or equivalent applicable for non-science departments.</w:t>
      </w:r>
    </w:p>
    <w:p>
      <w:pPr>
        <w:pStyle w:val="ListNumber"/>
        <w:spacing w:before="20" w:after="40"/>
      </w:pPr>
      <w:r>
        <w:rPr>
          <w:rFonts w:ascii="Calibri" w:hAnsi="Calibri"/>
          <w:sz w:val="20"/>
        </w:rPr>
        <w:t>The requirement of GATE is exempted for an applicant with an M.Tech or equivalent post-bachelor's degree</w:t>
      </w:r>
    </w:p>
    <w:p>
      <w:pPr>
        <w:pStyle w:val="ListNumber"/>
        <w:spacing w:before="20" w:after="40"/>
      </w:pPr>
      <w:r>
        <w:rPr>
          <w:rFonts w:ascii="Calibri" w:hAnsi="Calibri"/>
          <w:sz w:val="20"/>
        </w:rPr>
        <w:t>A student may be exempted from GATE as per MHRD guidelines.</w:t>
      </w:r>
    </w:p>
    <w:p>
      <w:pPr>
        <w:spacing w:before="0" w:after="100" w:line="276" w:lineRule="auto"/>
      </w:pPr>
      <w:r>
        <w:rPr>
          <w:rFonts w:ascii="Calibri" w:hAnsi="Calibri"/>
          <w:sz w:val="20"/>
        </w:rPr>
        <w:t>Additionally, exceptional regular full-time candidates with a valid UGC-NET or those with full time post graduate degree of two years or more from an Institute of National Importance (INI) may be considered as eligible for institute financial assistance</w:t>
      </w:r>
    </w:p>
    <w:p>
      <w:pPr>
        <w:spacing w:before="0" w:after="100" w:line="276" w:lineRule="auto"/>
      </w:pPr>
      <w:r>
        <w:rPr>
          <w:rFonts w:ascii="Calibri" w:hAnsi="Calibri"/>
          <w:b/>
          <w:sz w:val="20"/>
        </w:rPr>
        <w:t>Note:</w:t>
      </w:r>
      <w:r>
        <w:rPr>
          <w:rFonts w:ascii="Calibri" w:hAnsi="Calibri"/>
          <w:sz w:val="20"/>
        </w:rPr>
        <w:t xml:space="preserve"> </w:t>
      </w:r>
      <w:r>
        <w:rPr>
          <w:rFonts w:ascii="Calibri" w:hAnsi="Calibri"/>
          <w:b/>
          <w:sz w:val="20"/>
        </w:rPr>
        <w:t>Eligibility for financial assistance does not guarantee financial assistance.</w:t>
      </w:r>
    </w:p>
    <w:p>
      <w:pPr>
        <w:spacing w:before="0" w:after="100" w:line="276" w:lineRule="auto"/>
      </w:pPr>
      <w:r>
        <w:rPr>
          <w:rFonts w:ascii="Calibri" w:hAnsi="Calibri"/>
          <w:sz w:val="20"/>
        </w:rPr>
        <w:t xml:space="preserve">Please refer to the page below for details on fee for various kinds of admission into the PhD program: </w:t>
      </w:r>
      <w:hyperlink r:id="rId10">
        <w:r>
          <w:rPr>
            <w:color w:val="004B87"/>
            <w:u w:val="single"/>
          </w:rPr>
          <w:t xml:space="preserve">Fee Structure</w:t>
        </w:r>
      </w:hyperlink>
    </w:p>
    <w:p>
      <w:pPr>
        <w:keepNext/>
        <w:spacing w:before="280" w:after="80"/>
      </w:pPr>
      <w:r>
        <w:rPr>
          <w:rFonts w:ascii="Calibri" w:hAnsi="Calibri"/>
          <w:color w:val="003366"/>
          <w:sz w:val="26"/>
        </w:rPr>
        <w:t>Vision</w:t>
      </w:r>
    </w:p>
    <w:p>
      <w:pPr>
        <w:spacing w:before="0" w:after="100" w:line="276" w:lineRule="auto"/>
      </w:pPr>
      <w:r>
        <w:rPr>
          <w:rFonts w:ascii="Calibri" w:hAnsi="Calibri"/>
          <w:sz w:val="20"/>
        </w:rPr>
        <w:t>Become India’s top thought leader in technology-focused management education, research, and entrepreneurship in decades by spawning a new generation of managers, entrepreneurs, and leaders equipped with foresight based on a blend of technology and humanity.</w:t>
      </w:r>
    </w:p>
    <w:p>
      <w:pPr>
        <w:keepNext/>
        <w:spacing w:before="280" w:after="80"/>
      </w:pPr>
      <w:r>
        <w:rPr>
          <w:rFonts w:ascii="Calibri" w:hAnsi="Calibri"/>
          <w:color w:val="003366"/>
          <w:sz w:val="26"/>
        </w:rPr>
        <w:t>3. Important Dates</w:t>
      </w:r>
    </w:p>
    <w:p>
      <w:pPr>
        <w:pStyle w:val="ListBullet"/>
        <w:spacing w:before="20" w:after="40"/>
      </w:pPr>
      <w:r>
        <w:rPr>
          <w:rFonts w:ascii="Calibri" w:hAnsi="Calibri"/>
          <w:sz w:val="20"/>
        </w:rPr>
        <w:t xml:space="preserve">Online submission of the application form begins on </w:t>
      </w:r>
      <w:r>
        <w:rPr>
          <w:rFonts w:ascii="Calibri" w:hAnsi="Calibri"/>
          <w:b/>
          <w:sz w:val="20"/>
        </w:rPr>
        <w:t>13th January 2026</w:t>
      </w:r>
    </w:p>
    <w:p>
      <w:pPr>
        <w:pStyle w:val="ListBullet"/>
        <w:spacing w:before="20" w:after="40"/>
      </w:pPr>
      <w:r>
        <w:rPr>
          <w:rFonts w:ascii="Calibri" w:hAnsi="Calibri"/>
          <w:sz w:val="20"/>
        </w:rPr>
        <w:t xml:space="preserve">Online submission of the application form closes on </w:t>
      </w:r>
      <w:r>
        <w:rPr>
          <w:rFonts w:ascii="Calibri" w:hAnsi="Calibri"/>
          <w:b/>
          <w:sz w:val="20"/>
        </w:rPr>
        <w:t>~~12th February 2026~~</w:t>
      </w:r>
      <w:r>
        <w:rPr>
          <w:rFonts w:ascii="Calibri" w:hAnsi="Calibri"/>
          <w:sz w:val="20"/>
        </w:rPr>
        <w:t xml:space="preserve"> , Extended: 10th March 2026</w:t>
      </w:r>
    </w:p>
    <w:p>
      <w:pPr>
        <w:pStyle w:val="ListBullet"/>
        <w:spacing w:before="20" w:after="40"/>
      </w:pPr>
      <w:r>
        <w:rPr>
          <w:rFonts w:ascii="Calibri" w:hAnsi="Calibri"/>
          <w:sz w:val="20"/>
        </w:rPr>
        <w:t xml:space="preserve">Interview schedule: Tentatively starts from </w:t>
      </w:r>
      <w:r>
        <w:rPr>
          <w:rFonts w:ascii="Calibri" w:hAnsi="Calibri"/>
          <w:b/>
          <w:sz w:val="20"/>
        </w:rPr>
        <w:t>10th March 2026</w:t>
      </w:r>
      <w:r>
        <w:rPr>
          <w:rFonts w:ascii="Calibri" w:hAnsi="Calibri"/>
          <w:sz w:val="20"/>
        </w:rPr>
        <w:t>.</w:t>
      </w:r>
    </w:p>
    <w:p>
      <w:pPr>
        <w:spacing w:before="0" w:after="100" w:line="276" w:lineRule="auto"/>
      </w:pPr>
      <w:r>
        <w:rPr>
          <w:rFonts w:ascii="Calibri" w:hAnsi="Calibri"/>
          <w:b/>
          <w:sz w:val="20"/>
        </w:rPr>
        <w:t>Note:</w:t>
      </w:r>
      <w:r>
        <w:rPr>
          <w:rFonts w:ascii="Calibri" w:hAnsi="Calibri"/>
          <w:sz w:val="20"/>
        </w:rPr>
        <w:t xml:space="preserve"> The above dates are only tentative and are liable to change</w:t>
      </w:r>
    </w:p>
    <w:p>
      <w:pPr>
        <w:keepNext/>
        <w:spacing w:before="280" w:after="80"/>
      </w:pPr>
      <w:r>
        <w:rPr>
          <w:rFonts w:ascii="Calibri" w:hAnsi="Calibri"/>
          <w:color w:val="003366"/>
          <w:sz w:val="26"/>
        </w:rPr>
        <w:t>Placement Process</w:t>
      </w:r>
    </w:p>
    <w:p>
      <w:pPr>
        <w:spacing w:before="0" w:after="100" w:line="276" w:lineRule="auto"/>
      </w:pPr>
      <w:r>
        <w:rPr>
          <w:rFonts w:ascii="Calibri" w:hAnsi="Calibri"/>
          <w:sz w:val="20"/>
        </w:rPr>
        <w:t>SME’s Corporate Relations Team consists of both students as well as faculty, having prior work experience in the industry and oversees the recruitment process. The student Placements Committee as part of the Corporate Relations Team facilitate all interactions with industries. Recruiters who wish to conduct presentations and participate in the Summer Internship, Lateral or Final placement process at SME Jodhpur are requested to contact the Placement Committee at placement_sme@iitj.ac.in.</w:t>
      </w:r>
    </w:p>
    <w:p>
      <w:pPr>
        <w:keepNext/>
        <w:spacing w:before="280" w:after="80"/>
      </w:pPr>
      <w:r>
        <w:rPr>
          <w:rFonts w:ascii="Calibri" w:hAnsi="Calibri"/>
          <w:color w:val="003366"/>
          <w:sz w:val="26"/>
        </w:rPr>
        <w:t>Slotting</w:t>
      </w:r>
    </w:p>
    <w:p>
      <w:pPr>
        <w:spacing w:before="0" w:after="100" w:line="276" w:lineRule="auto"/>
      </w:pPr>
      <w:r>
        <w:rPr>
          <w:rFonts w:ascii="Calibri" w:hAnsi="Calibri"/>
          <w:sz w:val="20"/>
        </w:rPr>
        <w:t>Companies are allocated the day and time slots to hold their final selection process on campus based on the slotting criteria. The slots are communicated to the participating organizations well in advance. Companies are invited to campus based on their convenience and the slot is decided after discussion with the Student Placements Committee.</w:t>
      </w:r>
    </w:p>
    <w:p>
      <w:pPr>
        <w:spacing w:before="0" w:after="100" w:line="276" w:lineRule="auto"/>
      </w:pPr>
    </w:p>
    <w:p>
      <w:pPr>
        <w:spacing w:before="0" w:after="100" w:line="276" w:lineRule="auto"/>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https://erponline.iitj.ac.in/Admission/index?admiss_ch=67</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https://www.iitj.ac.in/schools/en/mission-vision</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https://www.iitj.ac.in/schools/en/industry-interaction</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https://www.iitj.ac.in/schools/en/final-placement</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https://www.iitj.ac.in/schools/en/eligibility-criteria-and-selection-process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https://www.iitj.ac.in/schools/en/phd</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https://www.iitj.ac.in/schools/en/fee-structure-student-intake</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https://www.iitj.ac.in/schools/en/how-to-apply</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https://www.iitj.ac.in/schools/en/phd-program</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https://www.iitj.ac.in/schools/en/placement-process</w:t>
        </w:r>
      </w:hyperlink>
    </w:p>
    <w:p>
      <w:pPr>
        <w:pStyle w:val="ListBullet"/>
        <w:spacing w:before="20" w:after="40"/>
      </w:pPr>
      <w:r>
        <w:rPr>
          <w:rFonts w:ascii="Calibri" w:hAnsi="Calibri"/>
          <w:sz w:val="20"/>
        </w:rPr>
        <w:t xml:space="preserve">Traceable Knowledge Units: </w:t>
      </w:r>
      <w:r>
        <w:rPr>
          <w:rFonts w:ascii="Consolas" w:hAnsi="Consolas"/>
          <w:color w:val="333333"/>
          <w:sz w:val="19"/>
        </w:rPr>
        <w:t>0accc4d2fc0646a0</w:t>
      </w:r>
      <w:r>
        <w:rPr>
          <w:rFonts w:ascii="Calibri" w:hAnsi="Calibri"/>
          <w:sz w:val="20"/>
        </w:rPr>
        <w:t xml:space="preserve">, </w:t>
      </w:r>
      <w:r>
        <w:rPr>
          <w:rFonts w:ascii="Consolas" w:hAnsi="Consolas"/>
          <w:color w:val="333333"/>
          <w:sz w:val="19"/>
        </w:rPr>
        <w:t>3839988f2cbb1e21</w:t>
      </w:r>
      <w:r>
        <w:rPr>
          <w:rFonts w:ascii="Calibri" w:hAnsi="Calibri"/>
          <w:sz w:val="20"/>
        </w:rPr>
        <w:t xml:space="preserve">, </w:t>
      </w:r>
      <w:r>
        <w:rPr>
          <w:rFonts w:ascii="Consolas" w:hAnsi="Consolas"/>
          <w:color w:val="333333"/>
          <w:sz w:val="19"/>
        </w:rPr>
        <w:t>42ab2d45182b5ea1</w:t>
      </w:r>
      <w:r>
        <w:rPr>
          <w:rFonts w:ascii="Calibri" w:hAnsi="Calibri"/>
          <w:sz w:val="20"/>
        </w:rPr>
        <w:t xml:space="preserve">, </w:t>
      </w:r>
      <w:r>
        <w:rPr>
          <w:rFonts w:ascii="Consolas" w:hAnsi="Consolas"/>
          <w:color w:val="333333"/>
          <w:sz w:val="19"/>
        </w:rPr>
        <w:t>434f1892a344d856</w:t>
      </w:r>
      <w:r>
        <w:rPr>
          <w:rFonts w:ascii="Calibri" w:hAnsi="Calibri"/>
          <w:sz w:val="20"/>
        </w:rPr>
        <w:t xml:space="preserve">, </w:t>
      </w:r>
      <w:r>
        <w:rPr>
          <w:rFonts w:ascii="Consolas" w:hAnsi="Consolas"/>
          <w:color w:val="333333"/>
          <w:sz w:val="19"/>
        </w:rPr>
        <w:t>5d79e1479471a4bc</w:t>
      </w:r>
      <w:r>
        <w:rPr>
          <w:rFonts w:ascii="Calibri" w:hAnsi="Calibri"/>
          <w:sz w:val="20"/>
        </w:rPr>
        <w:t xml:space="preserve">, </w:t>
      </w:r>
      <w:r>
        <w:rPr>
          <w:rFonts w:ascii="Consolas" w:hAnsi="Consolas"/>
          <w:color w:val="333333"/>
          <w:sz w:val="19"/>
        </w:rPr>
        <w:t>a4915d2d92131360</w:t>
      </w:r>
      <w:r>
        <w:rPr>
          <w:rFonts w:ascii="Calibri" w:hAnsi="Calibri"/>
          <w:sz w:val="20"/>
        </w:rPr>
        <w:t xml:space="preserve">, </w:t>
      </w:r>
      <w:r>
        <w:rPr>
          <w:rFonts w:ascii="Consolas" w:hAnsi="Consolas"/>
          <w:color w:val="333333"/>
          <w:sz w:val="19"/>
        </w:rPr>
        <w:t>a6cfa8b7f3f9a334</w:t>
      </w:r>
      <w:r>
        <w:rPr>
          <w:rFonts w:ascii="Calibri" w:hAnsi="Calibri"/>
          <w:sz w:val="20"/>
        </w:rPr>
        <w:t xml:space="preserve">, </w:t>
      </w:r>
      <w:r>
        <w:rPr>
          <w:rFonts w:ascii="Consolas" w:hAnsi="Consolas"/>
          <w:color w:val="333333"/>
          <w:sz w:val="19"/>
        </w:rPr>
        <w:t>ada918af69eb8b58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rponline.iitj.ac.in/Admission/index?admiss_ch=67" TargetMode="External"/><Relationship Id="rId10" Type="http://schemas.openxmlformats.org/officeDocument/2006/relationships/hyperlink" Target="http:///office-of-academics/en/fee-structure" TargetMode="External"/><Relationship Id="rId11" Type="http://schemas.openxmlformats.org/officeDocument/2006/relationships/hyperlink" Target="https://iitj.ac.in/" TargetMode="External"/><Relationship Id="rId12" Type="http://schemas.openxmlformats.org/officeDocument/2006/relationships/hyperlink" Target="https://www.iitj.ac.in/schools/en/mission-vision" TargetMode="External"/><Relationship Id="rId13" Type="http://schemas.openxmlformats.org/officeDocument/2006/relationships/hyperlink" Target="https://www.iitj.ac.in/schools/en/industry-interaction" TargetMode="External"/><Relationship Id="rId14" Type="http://schemas.openxmlformats.org/officeDocument/2006/relationships/hyperlink" Target="https://www.iitj.ac.in/schools/en/final-placement" TargetMode="External"/><Relationship Id="rId15" Type="http://schemas.openxmlformats.org/officeDocument/2006/relationships/hyperlink" Target="https://www.iitj.ac.in/schools/en/eligibility-criteria-and-selection-process" TargetMode="External"/><Relationship Id="rId16" Type="http://schemas.openxmlformats.org/officeDocument/2006/relationships/hyperlink" Target="https://www.iitj.ac.in/schools/en/phd" TargetMode="External"/><Relationship Id="rId17" Type="http://schemas.openxmlformats.org/officeDocument/2006/relationships/hyperlink" Target="https://www.iitj.ac.in/schools/en/fee-structure-student-intake" TargetMode="External"/><Relationship Id="rId18" Type="http://schemas.openxmlformats.org/officeDocument/2006/relationships/hyperlink" Target="https://www.iitj.ac.in/schools/en/how-to-apply" TargetMode="External"/><Relationship Id="rId19" Type="http://schemas.openxmlformats.org/officeDocument/2006/relationships/hyperlink" Target="https://www.iitj.ac.in/schools/en/phd-program" TargetMode="External"/><Relationship Id="rId20" Type="http://schemas.openxmlformats.org/officeDocument/2006/relationships/hyperlink" Target="https://www.iitj.ac.in/schools/en/placement-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