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Management and Entrepreneurship — International Relations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schools/management_and_entrepreneurship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Management and Entrepreneurship — International Relations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3. For International Applicants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A. Eligibility:</w:t>
      </w:r>
      <w:r>
        <w:rPr>
          <w:rFonts w:ascii="Calibri" w:hAnsi="Calibri"/>
          <w:sz w:val="20"/>
        </w:rPr>
        <w:t xml:space="preserve"> As stated earlier in point 1 (</w:t>
      </w:r>
      <w:r>
        <w:rPr>
          <w:rFonts w:ascii="Calibri" w:hAnsi="Calibri"/>
          <w:b/>
          <w:sz w:val="20"/>
        </w:rPr>
        <w:t>A</w:t>
      </w:r>
      <w:r>
        <w:rPr>
          <w:rFonts w:ascii="Calibri" w:hAnsi="Calibri"/>
          <w:sz w:val="20"/>
        </w:rPr>
        <w:t xml:space="preserve"> and </w:t>
      </w:r>
      <w:r>
        <w:rPr>
          <w:rFonts w:ascii="Calibri" w:hAnsi="Calibri"/>
          <w:b/>
          <w:sz w:val="20"/>
        </w:rPr>
        <w:t>B</w:t>
      </w:r>
      <w:r>
        <w:rPr>
          <w:rFonts w:ascii="Calibri" w:hAnsi="Calibri"/>
          <w:sz w:val="20"/>
        </w:rPr>
        <w:t xml:space="preserve"> of Eligibility Criterion). The legality and equivalence of the degree can be verified with the help of the Association of Indian Universities (AIU).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B. Admission process:</w:t>
      </w:r>
      <w:r>
        <w:rPr>
          <w:rFonts w:ascii="Calibri" w:hAnsi="Calibri"/>
          <w:sz w:val="20"/>
        </w:rPr>
        <w:t xml:space="preserve"> Merit-based, based on a Graduate Record Examination (GRE) score of 300 and above, or a Graduate Management Admission Test (GMAT) score of 600 and above, achieved within the last five years from the date of admission at SME,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2. For International Students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Visit the Application Portal at: </w:t>
      </w:r>
      <w:hyperlink r:id="rId9">
        <w:r>
          <w:rPr>
            <w:color w:val="004B87"/>
            <w:u w:val="single"/>
          </w:rPr>
          <w:t xml:space="preserve">Click here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Applicants may contact us using </w:t>
      </w:r>
      <w:r>
        <w:rPr>
          <w:rFonts w:ascii="Calibri" w:hAnsi="Calibri"/>
          <w:b/>
          <w:sz w:val="20"/>
        </w:rPr>
        <w:t>office_ir@iitj.ac.in</w:t>
      </w:r>
      <w:r>
        <w:rPr>
          <w:rFonts w:ascii="Calibri" w:hAnsi="Calibri"/>
          <w:sz w:val="20"/>
        </w:rPr>
        <w:t xml:space="preserve"> or</w:t>
      </w:r>
      <w:r>
        <w:rPr>
          <w:rFonts w:ascii="Calibri" w:hAnsi="Calibri"/>
          <w:b/>
          <w:sz w:val="20"/>
        </w:rPr>
        <w:t>0291 280 1115</w:t>
      </w:r>
      <w:r>
        <w:rPr>
          <w:rFonts w:ascii="Calibri" w:hAnsi="Calibri"/>
          <w:sz w:val="20"/>
        </w:rPr>
        <w:t xml:space="preserve"> for any information.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https://www.iitj.ac.in/office-of-international-relations/en/for-international-students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https://www.iitj.ac.in/schools/en/eligibility-criteria-and-selection-process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https://www.iitj.ac.in/schools/en/how-to-apply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5acd96a84c15ea15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95a81e281e89e02b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office-of-international-relations/en/for-international-students" TargetMode="External"/><Relationship Id="rId10" Type="http://schemas.openxmlformats.org/officeDocument/2006/relationships/hyperlink" Target="https://iitj.ac.in/" TargetMode="External"/><Relationship Id="rId11" Type="http://schemas.openxmlformats.org/officeDocument/2006/relationships/hyperlink" Target="https://www.iitj.ac.in/schools/en/eligibility-criteria-and-selection-process" TargetMode="External"/><Relationship Id="rId12" Type="http://schemas.openxmlformats.org/officeDocument/2006/relationships/hyperlink" Target="https://www.iitj.ac.in/schools/en/how-to-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