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SRGI Lucknow Heritage, Sponsoring Trust and Foundational Inspiration</w:t>
      </w:r>
    </w:p>
    <w:p>
      <w:pPr>
        <w:spacing w:after="240"/>
      </w:pPr>
      <w:r>
        <w:rPr>
          <w:rFonts w:ascii="Calibri" w:hAnsi="Calibri"/>
          <w:b/>
          <w:color w:val="555555"/>
          <w:sz w:val="19"/>
        </w:rPr>
        <w:t xml:space="preserve">S. R. Group of Institutions (SRGI), Lucknow  |  </w:t>
      </w:r>
      <w:r>
        <w:rPr>
          <w:rFonts w:ascii="Calibri" w:hAnsi="Calibri"/>
          <w:color w:val="777777"/>
          <w:sz w:val="19"/>
        </w:rPr>
        <w:t>Subject: 01 Institutional Profile</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Foundational inspiration of Late Shri Subedar Singh and Late Smt. Raj Devi Singh, establishment of Subedar Raj Devi Educational Trust, institutional ethos, and guiding philosophical principles.</w:t>
      </w:r>
    </w:p>
    <w:p>
      <w:pPr>
        <w:pStyle w:val="Heading2"/>
        <w:spacing w:before="240" w:after="80"/>
      </w:pPr>
      <w:r>
        <w:rPr>
          <w:rFonts w:ascii="Calibri" w:hAnsi="Calibri"/>
          <w:color w:val="003366"/>
          <w:sz w:val="26"/>
        </w:rPr>
        <w:t>1. The Guiding Light: Late Subedar Singh &amp; Late Raj Devi Singh</w:t>
      </w:r>
    </w:p>
    <w:p>
      <w:pPr>
        <w:spacing w:before="40" w:after="80" w:line="276" w:lineRule="auto"/>
      </w:pPr>
      <w:r>
        <w:rPr>
          <w:rFonts w:ascii="Calibri" w:hAnsi="Calibri"/>
          <w:sz w:val="20"/>
        </w:rPr>
        <w:t xml:space="preserve">The foundation of S. R. Group of Institutions is rooted in the compassionate social service and vision of </w:t>
      </w:r>
      <w:r>
        <w:rPr>
          <w:rFonts w:ascii="Calibri" w:hAnsi="Calibri"/>
          <w:b/>
          <w:sz w:val="20"/>
        </w:rPr>
        <w:t>Late Shri Subedar Singh</w:t>
      </w:r>
      <w:r>
        <w:rPr>
          <w:rFonts w:ascii="Calibri" w:hAnsi="Calibri"/>
          <w:sz w:val="20"/>
        </w:rPr>
        <w:t xml:space="preserve"> and </w:t>
      </w:r>
      <w:r>
        <w:rPr>
          <w:rFonts w:ascii="Calibri" w:hAnsi="Calibri"/>
          <w:b/>
          <w:sz w:val="20"/>
        </w:rPr>
        <w:t>Late Smt. Raj Devi Singh</w:t>
      </w:r>
      <w:r>
        <w:rPr>
          <w:rFonts w:ascii="Calibri" w:hAnsi="Calibri"/>
          <w:sz w:val="20"/>
        </w:rPr>
        <w:t>.</w:t>
      </w:r>
    </w:p>
    <w:p>
      <w:pPr>
        <w:spacing w:before="40" w:after="80" w:line="276" w:lineRule="auto"/>
      </w:pPr>
      <w:r>
        <w:rPr>
          <w:rFonts w:ascii="Calibri" w:hAnsi="Calibri"/>
          <w:sz w:val="20"/>
        </w:rPr>
        <w:t>Shri Subedar Ji was widely celebrated for his relentless work ethic, humility, and dedication to social upliftment. Despite arduous personal and professional commitments, he devoted his life to educating underprivileged children, offering them shelter, sustenance, and moral mentorship.</w:t>
      </w:r>
    </w:p>
    <w:p>
      <w:pPr>
        <w:spacing w:before="40" w:after="80" w:line="276" w:lineRule="auto"/>
      </w:pPr>
      <w:r>
        <w:rPr>
          <w:rFonts w:ascii="Calibri" w:hAnsi="Calibri"/>
          <w:sz w:val="20"/>
        </w:rPr>
        <w:t xml:space="preserve">His core conviction — that </w:t>
      </w:r>
      <w:r>
        <w:rPr>
          <w:rFonts w:ascii="Calibri" w:hAnsi="Calibri"/>
          <w:b/>
          <w:sz w:val="20"/>
        </w:rPr>
        <w:t>"Education Leads to Enlightenment"</w:t>
      </w:r>
      <w:r>
        <w:rPr>
          <w:rFonts w:ascii="Calibri" w:hAnsi="Calibri"/>
          <w:sz w:val="20"/>
        </w:rPr>
        <w:t xml:space="preserve"> — forms the spiritual cornerstone of all institutional endeavors across the SRGI group.</w:t>
      </w:r>
    </w:p>
    <w:p>
      <w:pPr>
        <w:pStyle w:val="Heading2"/>
        <w:spacing w:before="240" w:after="80"/>
      </w:pPr>
      <w:r>
        <w:rPr>
          <w:rFonts w:ascii="Calibri" w:hAnsi="Calibri"/>
          <w:color w:val="003366"/>
          <w:sz w:val="26"/>
        </w:rPr>
        <w:t>2. Establishment of the Sponsoring Trust</w:t>
      </w:r>
    </w:p>
    <w:p>
      <w:pPr>
        <w:spacing w:before="40" w:after="80" w:line="276" w:lineRule="auto"/>
      </w:pPr>
      <w:r>
        <w:rPr>
          <w:rFonts w:ascii="Calibri" w:hAnsi="Calibri"/>
          <w:sz w:val="20"/>
        </w:rPr>
        <w:t xml:space="preserve">In 2008, the family and disciples of Late Shri Subedar Singh formalised this philanthropic mission by establishing the </w:t>
      </w:r>
      <w:r>
        <w:rPr>
          <w:rFonts w:ascii="Calibri" w:hAnsi="Calibri"/>
          <w:b/>
          <w:sz w:val="20"/>
        </w:rPr>
        <w:t>Subedar Raj Devi Educational Trust</w:t>
      </w:r>
      <w:r>
        <w:rPr>
          <w:rFonts w:ascii="Calibri" w:hAnsi="Calibri"/>
          <w:sz w:val="20"/>
        </w:rPr>
        <w:t xml:space="preserve"> under the Societies Registration Act (Act XXI of 1860).</w:t>
      </w:r>
    </w:p>
    <w:tbl>
      <w:tblPr>
        <w:tblStyle w:val="TableGrid"/>
        <w:tblW w:type="auto" w:w="0"/>
        <w:jc w:val="center"/>
        <w:tblLayout w:type="autofit"/>
        <w:tblLook w:firstColumn="1" w:firstRow="1" w:lastColumn="0" w:lastRow="0" w:noHBand="0" w:noVBand="1" w:val="04A0"/>
        <w:tblBorders>
          <w:top w:val="single" w:sz="4" w:space="0" w:color="CCCCCC"/>
          <w:bottom w:val="single" w:sz="6" w:space="0" w:color="003366"/>
          <w:insideH w:val="single" w:sz="4" w:space="0" w:color="E0E0E0"/>
          <w:insideV w:val="none"/>
          <w:left w:val="none"/>
          <w:right w:val="none"/>
        </w:tblBorders>
      </w:tblPr>
      <w:tblGrid>
        <w:gridCol w:w="4680"/>
        <w:gridCol w:w="4680"/>
      </w:tblGrid>
      <w:tr>
        <w:tc>
          <w:tcPr>
            <w:tcW w:type="dxa" w:w="4680"/>
            <w:shd w:fill="EEF2F7"/>
          </w:tcPr>
          <w:p>
            <w:pPr>
              <w:spacing w:before="60" w:after="60"/>
            </w:pPr>
            <w:r>
              <w:rPr>
                <w:rFonts w:ascii="Calibri" w:hAnsi="Calibri"/>
                <w:b/>
                <w:color w:val="003366"/>
                <w:sz w:val="19"/>
              </w:rPr>
              <w:t>Attribute</w:t>
            </w:r>
          </w:p>
        </w:tc>
        <w:tc>
          <w:tcPr>
            <w:tcW w:type="dxa" w:w="4680"/>
            <w:shd w:fill="EEF2F7"/>
          </w:tcPr>
          <w:p>
            <w:pPr>
              <w:spacing w:before="60" w:after="60"/>
            </w:pPr>
            <w:r>
              <w:rPr>
                <w:rFonts w:ascii="Calibri" w:hAnsi="Calibri"/>
                <w:b/>
                <w:color w:val="003366"/>
                <w:sz w:val="19"/>
              </w:rPr>
              <w:t>Trust Record</w:t>
            </w:r>
          </w:p>
        </w:tc>
      </w:tr>
      <w:tr>
        <w:tc>
          <w:tcPr>
            <w:tcW w:type="dxa" w:w="4680"/>
          </w:tcPr>
          <w:p>
            <w:pPr>
              <w:spacing w:before="60" w:after="60"/>
            </w:pPr>
            <w:r>
              <w:rPr>
                <w:rFonts w:ascii="Calibri" w:hAnsi="Calibri"/>
                <w:b/>
                <w:sz w:val="19"/>
              </w:rPr>
              <w:t>Trust Name</w:t>
            </w:r>
          </w:p>
        </w:tc>
        <w:tc>
          <w:tcPr>
            <w:tcW w:type="dxa" w:w="4680"/>
          </w:tcPr>
          <w:p>
            <w:pPr>
              <w:spacing w:before="60" w:after="60"/>
            </w:pPr>
            <w:r>
              <w:rPr>
                <w:rFonts w:ascii="Calibri" w:hAnsi="Calibri"/>
                <w:sz w:val="19"/>
              </w:rPr>
              <w:t>Subedar Raj Devi Educational Trust</w:t>
            </w:r>
          </w:p>
        </w:tc>
      </w:tr>
      <w:tr>
        <w:tc>
          <w:tcPr>
            <w:tcW w:type="dxa" w:w="4680"/>
          </w:tcPr>
          <w:p>
            <w:pPr>
              <w:spacing w:before="60" w:after="60"/>
            </w:pPr>
            <w:r>
              <w:rPr>
                <w:rFonts w:ascii="Calibri" w:hAnsi="Calibri"/>
                <w:b/>
                <w:sz w:val="19"/>
              </w:rPr>
              <w:t>Year of Registration</w:t>
            </w:r>
          </w:p>
        </w:tc>
        <w:tc>
          <w:tcPr>
            <w:tcW w:type="dxa" w:w="4680"/>
          </w:tcPr>
          <w:p>
            <w:pPr>
              <w:spacing w:before="60" w:after="60"/>
            </w:pPr>
            <w:r>
              <w:rPr>
                <w:rFonts w:ascii="Calibri" w:hAnsi="Calibri"/>
                <w:sz w:val="19"/>
              </w:rPr>
              <w:t>2008</w:t>
            </w:r>
          </w:p>
        </w:tc>
      </w:tr>
      <w:tr>
        <w:tc>
          <w:tcPr>
            <w:tcW w:type="dxa" w:w="4680"/>
          </w:tcPr>
          <w:p>
            <w:pPr>
              <w:spacing w:before="60" w:after="60"/>
            </w:pPr>
            <w:r>
              <w:rPr>
                <w:rFonts w:ascii="Calibri" w:hAnsi="Calibri"/>
                <w:b/>
                <w:sz w:val="19"/>
              </w:rPr>
              <w:t>Governing Statute</w:t>
            </w:r>
          </w:p>
        </w:tc>
        <w:tc>
          <w:tcPr>
            <w:tcW w:type="dxa" w:w="4680"/>
          </w:tcPr>
          <w:p>
            <w:pPr>
              <w:spacing w:before="60" w:after="60"/>
            </w:pPr>
            <w:r>
              <w:rPr>
                <w:rFonts w:ascii="Calibri" w:hAnsi="Calibri"/>
                <w:sz w:val="19"/>
              </w:rPr>
              <w:t>Societies Registration Act, 1860</w:t>
            </w:r>
          </w:p>
        </w:tc>
      </w:tr>
      <w:tr>
        <w:tc>
          <w:tcPr>
            <w:tcW w:type="dxa" w:w="4680"/>
          </w:tcPr>
          <w:p>
            <w:pPr>
              <w:spacing w:before="60" w:after="60"/>
            </w:pPr>
            <w:r>
              <w:rPr>
                <w:rFonts w:ascii="Calibri" w:hAnsi="Calibri"/>
                <w:b/>
                <w:sz w:val="19"/>
              </w:rPr>
              <w:t>Founder &amp; Managing Trustee</w:t>
            </w:r>
          </w:p>
        </w:tc>
        <w:tc>
          <w:tcPr>
            <w:tcW w:type="dxa" w:w="4680"/>
          </w:tcPr>
          <w:p>
            <w:pPr>
              <w:spacing w:before="60" w:after="60"/>
            </w:pPr>
            <w:r>
              <w:rPr>
                <w:rFonts w:ascii="Calibri" w:hAnsi="Calibri"/>
                <w:sz w:val="19"/>
              </w:rPr>
              <w:t>Mr. Pawan Singh Chauhan</w:t>
            </w:r>
          </w:p>
        </w:tc>
      </w:tr>
      <w:tr>
        <w:tc>
          <w:tcPr>
            <w:tcW w:type="dxa" w:w="4680"/>
          </w:tcPr>
          <w:p>
            <w:pPr>
              <w:spacing w:before="60" w:after="60"/>
            </w:pPr>
            <w:r>
              <w:rPr>
                <w:rFonts w:ascii="Calibri" w:hAnsi="Calibri"/>
                <w:b/>
                <w:sz w:val="19"/>
              </w:rPr>
              <w:t>Headquarters</w:t>
            </w:r>
          </w:p>
        </w:tc>
        <w:tc>
          <w:tcPr>
            <w:tcW w:type="dxa" w:w="4680"/>
          </w:tcPr>
          <w:p>
            <w:pPr>
              <w:spacing w:before="60" w:after="60"/>
            </w:pPr>
            <w:r>
              <w:rPr>
                <w:rFonts w:ascii="Calibri" w:hAnsi="Calibri"/>
                <w:sz w:val="19"/>
              </w:rPr>
              <w:t>Lucknow, Uttar Pradesh</w:t>
            </w:r>
          </w:p>
        </w:tc>
      </w:tr>
      <w:tr>
        <w:tc>
          <w:tcPr>
            <w:tcW w:type="dxa" w:w="4680"/>
          </w:tcPr>
          <w:p>
            <w:pPr>
              <w:spacing w:before="60" w:after="60"/>
            </w:pPr>
            <w:r>
              <w:rPr>
                <w:rFonts w:ascii="Calibri" w:hAnsi="Calibri"/>
                <w:b/>
                <w:sz w:val="19"/>
              </w:rPr>
              <w:t>Key Mandate</w:t>
            </w:r>
          </w:p>
        </w:tc>
        <w:tc>
          <w:tcPr>
            <w:tcW w:type="dxa" w:w="4680"/>
          </w:tcPr>
          <w:p>
            <w:pPr>
              <w:spacing w:before="60" w:after="60"/>
            </w:pPr>
            <w:r>
              <w:rPr>
                <w:rFonts w:ascii="Calibri" w:hAnsi="Calibri"/>
                <w:sz w:val="19"/>
              </w:rPr>
              <w:t>Expansion of quality technical, vocational, medical, and school education</w:t>
            </w:r>
          </w:p>
        </w:tc>
      </w:tr>
    </w:tbl>
    <w:p>
      <w:pPr>
        <w:spacing w:before="40" w:after="40"/>
      </w:pPr>
    </w:p>
    <w:p>
      <w:pPr>
        <w:pStyle w:val="Heading2"/>
        <w:spacing w:before="240" w:after="80"/>
      </w:pPr>
      <w:r>
        <w:rPr>
          <w:rFonts w:ascii="Calibri" w:hAnsi="Calibri"/>
          <w:color w:val="003366"/>
          <w:sz w:val="26"/>
        </w:rPr>
        <w:t>3. The Tri-Fold Philosophy: Shiksha, Sanskar, and Rozgar</w:t>
      </w:r>
    </w:p>
    <w:p>
      <w:pPr>
        <w:spacing w:before="40" w:after="80" w:line="276" w:lineRule="auto"/>
      </w:pPr>
      <w:r>
        <w:rPr>
          <w:rFonts w:ascii="Calibri" w:hAnsi="Calibri"/>
          <w:sz w:val="20"/>
        </w:rPr>
        <w:t>The institutional ideology revolves around three indissoluble pillars:</w:t>
      </w:r>
    </w:p>
    <w:p>
      <w:pPr>
        <w:pStyle w:val="ListNumber"/>
        <w:spacing w:before="20" w:after="40"/>
      </w:pPr>
      <w:r>
        <w:rPr>
          <w:rFonts w:ascii="Calibri" w:hAnsi="Calibri"/>
          <w:b/>
          <w:sz w:val="20"/>
        </w:rPr>
        <w:t>Shiksha (Quality Education):</w:t>
      </w:r>
      <w:r>
        <w:rPr>
          <w:rFonts w:ascii="Calibri" w:hAnsi="Calibri"/>
          <w:sz w:val="20"/>
        </w:rPr>
        <w:t xml:space="preserve"> Modern, technology-enabled, rigorous pedagogical instruction that meets global standards while remaining affordable.</w:t>
      </w:r>
    </w:p>
    <w:p>
      <w:pPr>
        <w:pStyle w:val="ListNumber"/>
        <w:spacing w:before="20" w:after="40"/>
      </w:pPr>
      <w:r>
        <w:rPr>
          <w:rFonts w:ascii="Calibri" w:hAnsi="Calibri"/>
          <w:b/>
          <w:sz w:val="20"/>
        </w:rPr>
        <w:t>Sanskar (Values &amp; Ethics):</w:t>
      </w:r>
      <w:r>
        <w:rPr>
          <w:rFonts w:ascii="Calibri" w:hAnsi="Calibri"/>
          <w:sz w:val="20"/>
        </w:rPr>
        <w:t xml:space="preserve"> Instilling discipline, cultural integrity, respect for community, and social responsibility in every student.</w:t>
      </w:r>
    </w:p>
    <w:p>
      <w:pPr>
        <w:pStyle w:val="ListNumber"/>
        <w:spacing w:before="20" w:after="40"/>
      </w:pPr>
      <w:r>
        <w:rPr>
          <w:rFonts w:ascii="Calibri" w:hAnsi="Calibri"/>
          <w:b/>
          <w:sz w:val="20"/>
        </w:rPr>
        <w:t>Rozgar (Assured Livelihood):</w:t>
      </w:r>
      <w:r>
        <w:rPr>
          <w:rFonts w:ascii="Calibri" w:hAnsi="Calibri"/>
          <w:sz w:val="20"/>
        </w:rPr>
        <w:t xml:space="preserve"> Equipping students with practical industry competencies, technical mastery, and professional certifications that translate into employment and entrepreneurial success.</w:t>
      </w:r>
    </w:p>
    <w:p>
      <w:pPr>
        <w:pStyle w:val="Heading2"/>
        <w:spacing w:before="240" w:after="80"/>
      </w:pPr>
      <w:r>
        <w:rPr>
          <w:rFonts w:ascii="Calibri" w:hAnsi="Calibri"/>
          <w:color w:val="003366"/>
          <w:sz w:val="26"/>
        </w:rPr>
        <w:t>4. Growth Trajectory Since Inception</w:t>
      </w:r>
    </w:p>
    <w:p>
      <w:pPr>
        <w:pStyle w:val="ListBullet"/>
        <w:spacing w:before="20" w:after="40"/>
      </w:pPr>
      <w:r>
        <w:rPr>
          <w:rFonts w:ascii="Calibri" w:hAnsi="Calibri"/>
          <w:b/>
          <w:sz w:val="20"/>
        </w:rPr>
        <w:t>2008:</w:t>
      </w:r>
      <w:r>
        <w:rPr>
          <w:rFonts w:ascii="Calibri" w:hAnsi="Calibri"/>
          <w:sz w:val="20"/>
        </w:rPr>
        <w:t xml:space="preserve"> Formation and formal registration of the Subedar Raj Devi Educational Trust.</w:t>
      </w:r>
    </w:p>
    <w:p>
      <w:pPr>
        <w:pStyle w:val="ListBullet"/>
        <w:spacing w:before="20" w:after="40"/>
      </w:pPr>
      <w:r>
        <w:rPr>
          <w:rFonts w:ascii="Calibri" w:hAnsi="Calibri"/>
          <w:b/>
          <w:sz w:val="20"/>
        </w:rPr>
        <w:t>2009:</w:t>
      </w:r>
      <w:r>
        <w:rPr>
          <w:rFonts w:ascii="Calibri" w:hAnsi="Calibri"/>
          <w:sz w:val="20"/>
        </w:rPr>
        <w:t xml:space="preserve"> Inception of the flagship engineering institute — S. R. Institute of Management &amp; Technology (SRIMT) — with initial approvals for B.Tech courses.</w:t>
      </w:r>
    </w:p>
    <w:p>
      <w:pPr>
        <w:pStyle w:val="ListBullet"/>
        <w:spacing w:before="20" w:after="40"/>
      </w:pPr>
      <w:r>
        <w:rPr>
          <w:rFonts w:ascii="Calibri" w:hAnsi="Calibri"/>
          <w:b/>
          <w:sz w:val="20"/>
        </w:rPr>
        <w:t>2010–2015:</w:t>
      </w:r>
      <w:r>
        <w:rPr>
          <w:rFonts w:ascii="Calibri" w:hAnsi="Calibri"/>
          <w:sz w:val="20"/>
        </w:rPr>
        <w:t xml:space="preserve"> Rapid curricular expansion into Master of Business Administration (MBA), Integrated MBA, Biotechnology, Agricultural Engineering, and Master of Technology (M.Tech).</w:t>
      </w:r>
    </w:p>
    <w:p>
      <w:pPr>
        <w:pStyle w:val="ListBullet"/>
        <w:spacing w:before="20" w:after="40"/>
      </w:pPr>
      <w:r>
        <w:rPr>
          <w:rFonts w:ascii="Calibri" w:hAnsi="Calibri"/>
          <w:b/>
          <w:sz w:val="20"/>
        </w:rPr>
        <w:t>2016–2020:</w:t>
      </w:r>
      <w:r>
        <w:rPr>
          <w:rFonts w:ascii="Calibri" w:hAnsi="Calibri"/>
          <w:sz w:val="20"/>
        </w:rPr>
        <w:t xml:space="preserve"> Introduction of UGC-approved Bachelor of Vocation (B.Voc) degrees, creation of dedicated innovation and research centers, and establishment of specialized constituent units.</w:t>
      </w:r>
    </w:p>
    <w:p>
      <w:pPr>
        <w:pStyle w:val="ListBullet"/>
        <w:spacing w:before="20" w:after="40"/>
      </w:pPr>
      <w:r>
        <w:rPr>
          <w:rFonts w:ascii="Calibri" w:hAnsi="Calibri"/>
          <w:b/>
          <w:sz w:val="20"/>
        </w:rPr>
        <w:t>2021–Present:</w:t>
      </w:r>
      <w:r>
        <w:rPr>
          <w:rFonts w:ascii="Calibri" w:hAnsi="Calibri"/>
          <w:sz w:val="20"/>
        </w:rPr>
        <w:t xml:space="preserve"> Full integration of high-growth computing disciplines (AI &amp; ML, Data Science), expansion into medical and healthcare education, and consolidation of a modern 65-acre residential campus.</w:t>
      </w:r>
    </w:p>
    <w:p>
      <w:pPr>
        <w:pStyle w:val="Heading2"/>
        <w:spacing w:before="240" w:after="80"/>
      </w:pPr>
      <w:r>
        <w:rPr>
          <w:rFonts w:ascii="Calibri" w:hAnsi="Calibri"/>
          <w:color w:val="003366"/>
          <w:sz w:val="26"/>
        </w:rPr>
        <w:t>Related Information</w:t>
      </w:r>
    </w:p>
    <w:p>
      <w:pPr>
        <w:pStyle w:val="ListBullet"/>
        <w:spacing w:before="20" w:after="40"/>
      </w:pPr>
      <w:r>
        <w:rPr>
          <w:rFonts w:ascii="Consolas" w:hAnsi="Consolas"/>
          <w:color w:val="333333"/>
          <w:sz w:val="19"/>
        </w:rPr>
        <w:t>srgi_lucknow_overview</w:t>
      </w:r>
    </w:p>
    <w:p>
      <w:pPr>
        <w:pStyle w:val="ListBullet"/>
        <w:spacing w:before="20" w:after="40"/>
      </w:pPr>
      <w:r>
        <w:rPr>
          <w:rFonts w:ascii="Consolas" w:hAnsi="Consolas"/>
          <w:color w:val="333333"/>
          <w:sz w:val="19"/>
        </w:rPr>
        <w:t>srgi_lucknow_chairman_message</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https://srgi.in/inspiration</w:t>
        </w:r>
      </w:hyperlink>
    </w:p>
    <w:p>
      <w:pPr>
        <w:pStyle w:val="ListBullet"/>
        <w:spacing w:before="20" w:after="40"/>
        <w:ind w:left="720"/>
      </w:pPr>
      <w:hyperlink r:id="rId11">
        <w:r>
          <w:rPr>
            <w:color w:val="004B87"/>
            <w:u w:val="single"/>
          </w:rPr>
          <w:t xml:space="preserve">https://srgi.in/about</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inspiration" TargetMode="External"/><Relationship Id="rId11" Type="http://schemas.openxmlformats.org/officeDocument/2006/relationships/hyperlink" Target="https://srgi.in/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