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SRGI Lucknow Institutional Overview, Campus Profile and History</w:t>
      </w:r>
    </w:p>
    <w:p>
      <w:pPr>
        <w:spacing w:after="240"/>
      </w:pPr>
      <w:r>
        <w:rPr>
          <w:rFonts w:ascii="Calibri" w:hAnsi="Calibri"/>
          <w:b/>
          <w:color w:val="555555"/>
          <w:sz w:val="19"/>
        </w:rPr>
        <w:t xml:space="preserve">S. R. Group of Institutions (SRGI), Lucknow  |  </w:t>
      </w:r>
      <w:r>
        <w:rPr>
          <w:rFonts w:ascii="Calibri" w:hAnsi="Calibri"/>
          <w:color w:val="777777"/>
          <w:sz w:val="19"/>
        </w:rPr>
        <w:t>Subject: 01 Institutional Profile</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Official institutional profile, campus expanse, establishment history since 2009, core statistics, and academic orientation of S. R. Group of Institutions, Lucknow.</w:t>
      </w:r>
    </w:p>
    <w:p>
      <w:pPr>
        <w:pStyle w:val="Heading2"/>
        <w:spacing w:before="240" w:after="80"/>
      </w:pPr>
      <w:r>
        <w:rPr>
          <w:rFonts w:ascii="Calibri" w:hAnsi="Calibri"/>
          <w:color w:val="003366"/>
          <w:sz w:val="26"/>
        </w:rPr>
        <w:t>1. Executive Summary &amp; Identity</w:t>
      </w:r>
    </w:p>
    <w:p>
      <w:pPr>
        <w:spacing w:before="40" w:after="80" w:line="276" w:lineRule="auto"/>
      </w:pPr>
      <w:r>
        <w:rPr>
          <w:rFonts w:ascii="Calibri" w:hAnsi="Calibri"/>
          <w:sz w:val="20"/>
        </w:rPr>
        <w:t>S. R. Group of Institutions (SRGI), Lucknow, established in 2009, is a premier multi-disciplinary technical and professional education group located on NH-24, Sitapur Road, Bakshi ka Talab (BKT), Lucknow, Uttar Pradesh. The institution operates under the aegis of the Subedar Raj Devi Educational Trust (founded in 2008 under the Societies Registration Act, 1860).</w:t>
      </w:r>
    </w:p>
    <w:p>
      <w:pPr>
        <w:spacing w:before="40" w:after="80" w:line="276" w:lineRule="auto"/>
      </w:pPr>
      <w:r>
        <w:rPr>
          <w:rFonts w:ascii="Calibri" w:hAnsi="Calibri"/>
          <w:sz w:val="20"/>
        </w:rPr>
        <w:t xml:space="preserve">The institution was conceived with the guiding vision of </w:t>
      </w:r>
      <w:r>
        <w:rPr>
          <w:rFonts w:ascii="Calibri" w:hAnsi="Calibri"/>
          <w:b/>
          <w:sz w:val="20"/>
        </w:rPr>
        <w:t>"Shiksha, Sanskar aur Rozgar"</w:t>
      </w:r>
      <w:r>
        <w:rPr>
          <w:rFonts w:ascii="Calibri" w:hAnsi="Calibri"/>
          <w:sz w:val="20"/>
        </w:rPr>
        <w:t xml:space="preserve"> (Education, Ethics &amp; Employability), ensuring that rural and urban youth alike receive industry-relevant education, holistic moral grooming, and assured career opportunities.</w:t>
      </w:r>
    </w:p>
    <w:p>
      <w:pPr>
        <w:pStyle w:val="Heading2"/>
        <w:spacing w:before="240" w:after="80"/>
      </w:pPr>
      <w:r>
        <w:rPr>
          <w:rFonts w:ascii="Calibri" w:hAnsi="Calibri"/>
          <w:color w:val="003366"/>
          <w:sz w:val="26"/>
        </w:rPr>
        <w:t>2. Institutional Legacy &amp; Key Statistics</w:t>
      </w:r>
    </w:p>
    <w:p>
      <w:pPr>
        <w:spacing w:before="40" w:after="80" w:line="276" w:lineRule="auto"/>
      </w:pPr>
      <w:r>
        <w:rPr>
          <w:rFonts w:ascii="Calibri" w:hAnsi="Calibri"/>
          <w:sz w:val="20"/>
        </w:rPr>
        <w:t>Since its founding in 2009 with an initial batch of 240 engineering students across four disciplines, SRGI has expanded into a sprawling educational ecosystem spanning engineering, management, vocational studies, and allied medical sciences.</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3120"/>
        <w:gridCol w:w="3120"/>
        <w:gridCol w:w="3120"/>
      </w:tblGrid>
      <w:tr>
        <w:tc>
          <w:tcPr>
            <w:tcW w:type="dxa" w:w="3120"/>
            <w:shd w:fill="EEF2F7"/>
          </w:tcPr>
          <w:p>
            <w:pPr>
              <w:spacing w:before="60" w:after="60"/>
            </w:pPr>
            <w:r>
              <w:rPr>
                <w:rFonts w:ascii="Calibri" w:hAnsi="Calibri"/>
                <w:b/>
                <w:color w:val="003366"/>
                <w:sz w:val="19"/>
              </w:rPr>
              <w:t>Key Metric</w:t>
            </w:r>
          </w:p>
        </w:tc>
        <w:tc>
          <w:tcPr>
            <w:tcW w:type="dxa" w:w="3120"/>
            <w:shd w:fill="EEF2F7"/>
          </w:tcPr>
          <w:p>
            <w:pPr>
              <w:spacing w:before="60" w:after="60"/>
            </w:pPr>
            <w:r>
              <w:rPr>
                <w:rFonts w:ascii="Calibri" w:hAnsi="Calibri"/>
                <w:b/>
                <w:color w:val="003366"/>
                <w:sz w:val="19"/>
              </w:rPr>
              <w:t>Institutional Value</w:t>
            </w:r>
          </w:p>
        </w:tc>
        <w:tc>
          <w:tcPr>
            <w:tcW w:type="dxa" w:w="3120"/>
            <w:shd w:fill="EEF2F7"/>
          </w:tcPr>
          <w:p>
            <w:pPr>
              <w:spacing w:before="60" w:after="60"/>
            </w:pPr>
            <w:r>
              <w:rPr>
                <w:rFonts w:ascii="Calibri" w:hAnsi="Calibri"/>
                <w:b/>
                <w:color w:val="003366"/>
                <w:sz w:val="19"/>
              </w:rPr>
              <w:t>Verification Source</w:t>
            </w:r>
          </w:p>
        </w:tc>
      </w:tr>
      <w:tr>
        <w:tc>
          <w:tcPr>
            <w:tcW w:type="dxa" w:w="3120"/>
          </w:tcPr>
          <w:p>
            <w:pPr>
              <w:spacing w:before="60" w:after="60"/>
            </w:pPr>
            <w:r>
              <w:rPr>
                <w:rFonts w:ascii="Calibri" w:hAnsi="Calibri"/>
                <w:b/>
                <w:sz w:val="19"/>
              </w:rPr>
              <w:t>Year of Establishment</w:t>
            </w:r>
          </w:p>
        </w:tc>
        <w:tc>
          <w:tcPr>
            <w:tcW w:type="dxa" w:w="3120"/>
          </w:tcPr>
          <w:p>
            <w:pPr>
              <w:spacing w:before="60" w:after="60"/>
            </w:pPr>
            <w:r>
              <w:rPr>
                <w:rFonts w:ascii="Calibri" w:hAnsi="Calibri"/>
                <w:sz w:val="19"/>
              </w:rPr>
              <w:t>2009</w:t>
            </w:r>
          </w:p>
        </w:tc>
        <w:tc>
          <w:tcPr>
            <w:tcW w:type="dxa" w:w="3120"/>
          </w:tcPr>
          <w:p>
            <w:pPr>
              <w:spacing w:before="60" w:after="60"/>
            </w:pPr>
            <w:r>
              <w:rPr>
                <w:rFonts w:ascii="Calibri" w:hAnsi="Calibri"/>
                <w:sz w:val="19"/>
              </w:rPr>
              <w:t>Official Portal &amp; Prospectus</w:t>
            </w:r>
          </w:p>
        </w:tc>
      </w:tr>
      <w:tr>
        <w:tc>
          <w:tcPr>
            <w:tcW w:type="dxa" w:w="3120"/>
          </w:tcPr>
          <w:p>
            <w:pPr>
              <w:spacing w:before="60" w:after="60"/>
            </w:pPr>
            <w:r>
              <w:rPr>
                <w:rFonts w:ascii="Calibri" w:hAnsi="Calibri"/>
                <w:b/>
                <w:sz w:val="19"/>
              </w:rPr>
              <w:t>Sponsoring Trust</w:t>
            </w:r>
          </w:p>
        </w:tc>
        <w:tc>
          <w:tcPr>
            <w:tcW w:type="dxa" w:w="3120"/>
          </w:tcPr>
          <w:p>
            <w:pPr>
              <w:spacing w:before="60" w:after="60"/>
            </w:pPr>
            <w:r>
              <w:rPr>
                <w:rFonts w:ascii="Calibri" w:hAnsi="Calibri"/>
                <w:sz w:val="19"/>
              </w:rPr>
              <w:t>Subedar Raj Devi Educational Trust (Founded 2008)</w:t>
            </w:r>
          </w:p>
        </w:tc>
        <w:tc>
          <w:tcPr>
            <w:tcW w:type="dxa" w:w="3120"/>
          </w:tcPr>
          <w:p>
            <w:pPr>
              <w:spacing w:before="60" w:after="60"/>
            </w:pPr>
            <w:r>
              <w:rPr>
                <w:rFonts w:ascii="Calibri" w:hAnsi="Calibri"/>
                <w:sz w:val="19"/>
              </w:rPr>
              <w:t>Trust Registration Records</w:t>
            </w:r>
          </w:p>
        </w:tc>
      </w:tr>
      <w:tr>
        <w:tc>
          <w:tcPr>
            <w:tcW w:type="dxa" w:w="3120"/>
          </w:tcPr>
          <w:p>
            <w:pPr>
              <w:spacing w:before="60" w:after="60"/>
            </w:pPr>
            <w:r>
              <w:rPr>
                <w:rFonts w:ascii="Calibri" w:hAnsi="Calibri"/>
                <w:b/>
                <w:sz w:val="19"/>
              </w:rPr>
              <w:t>Campus Size</w:t>
            </w:r>
          </w:p>
        </w:tc>
        <w:tc>
          <w:tcPr>
            <w:tcW w:type="dxa" w:w="3120"/>
          </w:tcPr>
          <w:p>
            <w:pPr>
              <w:spacing w:before="60" w:after="60"/>
            </w:pPr>
            <w:r>
              <w:rPr>
                <w:rFonts w:ascii="Calibri" w:hAnsi="Calibri"/>
                <w:sz w:val="19"/>
              </w:rPr>
              <w:t>65 Acres Sprawling Tech Campus</w:t>
            </w:r>
          </w:p>
        </w:tc>
        <w:tc>
          <w:tcPr>
            <w:tcW w:type="dxa" w:w="3120"/>
          </w:tcPr>
          <w:p>
            <w:pPr>
              <w:spacing w:before="60" w:after="60"/>
            </w:pPr>
            <w:r>
              <w:rPr>
                <w:rFonts w:ascii="Calibri" w:hAnsi="Calibri"/>
                <w:sz w:val="19"/>
              </w:rPr>
              <w:t>Institutional Site &amp; Sports Infrastructure</w:t>
            </w:r>
          </w:p>
        </w:tc>
      </w:tr>
      <w:tr>
        <w:tc>
          <w:tcPr>
            <w:tcW w:type="dxa" w:w="3120"/>
          </w:tcPr>
          <w:p>
            <w:pPr>
              <w:spacing w:before="60" w:after="60"/>
            </w:pPr>
            <w:r>
              <w:rPr>
                <w:rFonts w:ascii="Calibri" w:hAnsi="Calibri"/>
                <w:b/>
                <w:sz w:val="19"/>
              </w:rPr>
              <w:t>Alumni &amp; Student Base</w:t>
            </w:r>
          </w:p>
        </w:tc>
        <w:tc>
          <w:tcPr>
            <w:tcW w:type="dxa" w:w="3120"/>
          </w:tcPr>
          <w:p>
            <w:pPr>
              <w:spacing w:before="60" w:after="60"/>
            </w:pPr>
            <w:r>
              <w:rPr>
                <w:rFonts w:ascii="Calibri" w:hAnsi="Calibri"/>
                <w:sz w:val="19"/>
              </w:rPr>
              <w:t>10,000+ Enrolled Students &amp; Global Alumni</w:t>
            </w:r>
          </w:p>
        </w:tc>
        <w:tc>
          <w:tcPr>
            <w:tcW w:type="dxa" w:w="3120"/>
          </w:tcPr>
          <w:p>
            <w:pPr>
              <w:spacing w:before="60" w:after="60"/>
            </w:pPr>
            <w:r>
              <w:rPr>
                <w:rFonts w:ascii="Calibri" w:hAnsi="Calibri"/>
                <w:sz w:val="19"/>
              </w:rPr>
              <w:t>Legacy Dashboard</w:t>
            </w:r>
          </w:p>
        </w:tc>
      </w:tr>
      <w:tr>
        <w:tc>
          <w:tcPr>
            <w:tcW w:type="dxa" w:w="3120"/>
          </w:tcPr>
          <w:p>
            <w:pPr>
              <w:spacing w:before="60" w:after="60"/>
            </w:pPr>
            <w:r>
              <w:rPr>
                <w:rFonts w:ascii="Calibri" w:hAnsi="Calibri"/>
                <w:b/>
                <w:sz w:val="19"/>
              </w:rPr>
              <w:t>Companies Visited (10 Years)</w:t>
            </w:r>
          </w:p>
        </w:tc>
        <w:tc>
          <w:tcPr>
            <w:tcW w:type="dxa" w:w="3120"/>
          </w:tcPr>
          <w:p>
            <w:pPr>
              <w:spacing w:before="60" w:after="60"/>
            </w:pPr>
            <w:r>
              <w:rPr>
                <w:rFonts w:ascii="Calibri" w:hAnsi="Calibri"/>
                <w:sz w:val="19"/>
              </w:rPr>
              <w:t>900+ Corporate Recruiters</w:t>
            </w:r>
          </w:p>
        </w:tc>
        <w:tc>
          <w:tcPr>
            <w:tcW w:type="dxa" w:w="3120"/>
          </w:tcPr>
          <w:p>
            <w:pPr>
              <w:spacing w:before="60" w:after="60"/>
            </w:pPr>
            <w:r>
              <w:rPr>
                <w:rFonts w:ascii="Calibri" w:hAnsi="Calibri"/>
                <w:sz w:val="19"/>
              </w:rPr>
              <w:t>Placement Records</w:t>
            </w:r>
          </w:p>
        </w:tc>
      </w:tr>
      <w:tr>
        <w:tc>
          <w:tcPr>
            <w:tcW w:type="dxa" w:w="3120"/>
          </w:tcPr>
          <w:p>
            <w:pPr>
              <w:spacing w:before="60" w:after="60"/>
            </w:pPr>
            <w:r>
              <w:rPr>
                <w:rFonts w:ascii="Calibri" w:hAnsi="Calibri"/>
                <w:b/>
                <w:sz w:val="19"/>
              </w:rPr>
              <w:t>Highest Placement Package</w:t>
            </w:r>
          </w:p>
        </w:tc>
        <w:tc>
          <w:tcPr>
            <w:tcW w:type="dxa" w:w="3120"/>
          </w:tcPr>
          <w:p>
            <w:pPr>
              <w:spacing w:before="60" w:after="60"/>
            </w:pPr>
            <w:r>
              <w:rPr>
                <w:rFonts w:ascii="Calibri" w:hAnsi="Calibri"/>
                <w:sz w:val="19"/>
              </w:rPr>
              <w:t>42.00 LPA</w:t>
            </w:r>
          </w:p>
        </w:tc>
        <w:tc>
          <w:tcPr>
            <w:tcW w:type="dxa" w:w="3120"/>
          </w:tcPr>
          <w:p>
            <w:pPr>
              <w:spacing w:before="60" w:after="60"/>
            </w:pPr>
            <w:r>
              <w:rPr>
                <w:rFonts w:ascii="Calibri" w:hAnsi="Calibri"/>
                <w:sz w:val="19"/>
              </w:rPr>
              <w:t>Placement Insights 2026</w:t>
            </w:r>
          </w:p>
        </w:tc>
      </w:tr>
      <w:tr>
        <w:tc>
          <w:tcPr>
            <w:tcW w:type="dxa" w:w="3120"/>
          </w:tcPr>
          <w:p>
            <w:pPr>
              <w:spacing w:before="60" w:after="60"/>
            </w:pPr>
            <w:r>
              <w:rPr>
                <w:rFonts w:ascii="Calibri" w:hAnsi="Calibri"/>
                <w:b/>
                <w:sz w:val="19"/>
              </w:rPr>
              <w:t>Average Placement Package</w:t>
            </w:r>
          </w:p>
        </w:tc>
        <w:tc>
          <w:tcPr>
            <w:tcW w:type="dxa" w:w="3120"/>
          </w:tcPr>
          <w:p>
            <w:pPr>
              <w:spacing w:before="60" w:after="60"/>
            </w:pPr>
            <w:r>
              <w:rPr>
                <w:rFonts w:ascii="Calibri" w:hAnsi="Calibri"/>
                <w:sz w:val="19"/>
              </w:rPr>
              <w:t>4.00 LPA</w:t>
            </w:r>
          </w:p>
        </w:tc>
        <w:tc>
          <w:tcPr>
            <w:tcW w:type="dxa" w:w="3120"/>
          </w:tcPr>
          <w:p>
            <w:pPr>
              <w:spacing w:before="60" w:after="60"/>
            </w:pPr>
            <w:r>
              <w:rPr>
                <w:rFonts w:ascii="Calibri" w:hAnsi="Calibri"/>
                <w:sz w:val="19"/>
              </w:rPr>
              <w:t>Career &amp; Placement Dashboard</w:t>
            </w:r>
          </w:p>
        </w:tc>
      </w:tr>
      <w:tr>
        <w:tc>
          <w:tcPr>
            <w:tcW w:type="dxa" w:w="3120"/>
          </w:tcPr>
          <w:p>
            <w:pPr>
              <w:spacing w:before="60" w:after="60"/>
            </w:pPr>
            <w:r>
              <w:rPr>
                <w:rFonts w:ascii="Calibri" w:hAnsi="Calibri"/>
                <w:b/>
                <w:sz w:val="19"/>
              </w:rPr>
              <w:t>Total Job Opportunities Created</w:t>
            </w:r>
          </w:p>
        </w:tc>
        <w:tc>
          <w:tcPr>
            <w:tcW w:type="dxa" w:w="3120"/>
          </w:tcPr>
          <w:p>
            <w:pPr>
              <w:spacing w:before="60" w:after="60"/>
            </w:pPr>
            <w:r>
              <w:rPr>
                <w:rFonts w:ascii="Calibri" w:hAnsi="Calibri"/>
                <w:sz w:val="19"/>
              </w:rPr>
              <w:t>24,888+ Offers Generated</w:t>
            </w:r>
          </w:p>
        </w:tc>
        <w:tc>
          <w:tcPr>
            <w:tcW w:type="dxa" w:w="3120"/>
          </w:tcPr>
          <w:p>
            <w:pPr>
              <w:spacing w:before="60" w:after="60"/>
            </w:pPr>
            <w:r>
              <w:rPr>
                <w:rFonts w:ascii="Calibri" w:hAnsi="Calibri"/>
                <w:sz w:val="19"/>
              </w:rPr>
              <w:t>Corporate Relations Office</w:t>
            </w:r>
          </w:p>
        </w:tc>
      </w:tr>
      <w:tr>
        <w:tc>
          <w:tcPr>
            <w:tcW w:type="dxa" w:w="3120"/>
          </w:tcPr>
          <w:p>
            <w:pPr>
              <w:spacing w:before="60" w:after="60"/>
            </w:pPr>
            <w:r>
              <w:rPr>
                <w:rFonts w:ascii="Calibri" w:hAnsi="Calibri"/>
                <w:b/>
                <w:sz w:val="19"/>
              </w:rPr>
              <w:t>Faculty Strength</w:t>
            </w:r>
          </w:p>
        </w:tc>
        <w:tc>
          <w:tcPr>
            <w:tcW w:type="dxa" w:w="3120"/>
          </w:tcPr>
          <w:p>
            <w:pPr>
              <w:spacing w:before="60" w:after="60"/>
            </w:pPr>
            <w:r>
              <w:rPr>
                <w:rFonts w:ascii="Calibri" w:hAnsi="Calibri"/>
                <w:sz w:val="19"/>
              </w:rPr>
              <w:t>Highly Qualified Professors, PhDs &amp; Industry Mentors</w:t>
            </w:r>
          </w:p>
        </w:tc>
        <w:tc>
          <w:tcPr>
            <w:tcW w:type="dxa" w:w="3120"/>
          </w:tcPr>
          <w:p>
            <w:pPr>
              <w:spacing w:before="60" w:after="60"/>
            </w:pPr>
            <w:r>
              <w:rPr>
                <w:rFonts w:ascii="Calibri" w:hAnsi="Calibri"/>
                <w:sz w:val="19"/>
              </w:rPr>
              <w:t>Academic Directorate</w:t>
            </w:r>
          </w:p>
        </w:tc>
      </w:tr>
      <w:tr>
        <w:tc>
          <w:tcPr>
            <w:tcW w:type="dxa" w:w="3120"/>
          </w:tcPr>
          <w:p>
            <w:pPr>
              <w:spacing w:before="60" w:after="60"/>
            </w:pPr>
            <w:r>
              <w:rPr>
                <w:rFonts w:ascii="Calibri" w:hAnsi="Calibri"/>
                <w:b/>
                <w:sz w:val="19"/>
              </w:rPr>
              <w:t>Central Library Holdings</w:t>
            </w:r>
          </w:p>
        </w:tc>
        <w:tc>
          <w:tcPr>
            <w:tcW w:type="dxa" w:w="3120"/>
          </w:tcPr>
          <w:p>
            <w:pPr>
              <w:spacing w:before="60" w:after="60"/>
            </w:pPr>
            <w:r>
              <w:rPr>
                <w:rFonts w:ascii="Calibri" w:hAnsi="Calibri"/>
                <w:sz w:val="19"/>
              </w:rPr>
              <w:t>53,760+ Books &amp; 448+ Journals</w:t>
            </w:r>
          </w:p>
        </w:tc>
        <w:tc>
          <w:tcPr>
            <w:tcW w:type="dxa" w:w="3120"/>
          </w:tcPr>
          <w:p>
            <w:pPr>
              <w:spacing w:before="60" w:after="60"/>
            </w:pPr>
            <w:r>
              <w:rPr>
                <w:rFonts w:ascii="Calibri" w:hAnsi="Calibri"/>
                <w:sz w:val="19"/>
              </w:rPr>
              <w:t>Central Library System</w:t>
            </w:r>
          </w:p>
        </w:tc>
      </w:tr>
      <w:tr>
        <w:tc>
          <w:tcPr>
            <w:tcW w:type="dxa" w:w="3120"/>
          </w:tcPr>
          <w:p>
            <w:pPr>
              <w:spacing w:before="60" w:after="60"/>
            </w:pPr>
            <w:r>
              <w:rPr>
                <w:rFonts w:ascii="Calibri" w:hAnsi="Calibri"/>
                <w:b/>
                <w:sz w:val="19"/>
              </w:rPr>
              <w:t>Hostel Residential Capacity</w:t>
            </w:r>
          </w:p>
        </w:tc>
        <w:tc>
          <w:tcPr>
            <w:tcW w:type="dxa" w:w="3120"/>
          </w:tcPr>
          <w:p>
            <w:pPr>
              <w:spacing w:before="60" w:after="60"/>
            </w:pPr>
            <w:r>
              <w:rPr>
                <w:rFonts w:ascii="Calibri" w:hAnsi="Calibri"/>
                <w:sz w:val="19"/>
              </w:rPr>
              <w:t>2,000+ Students (Separate Boys &amp; Girls Wings)</w:t>
            </w:r>
          </w:p>
        </w:tc>
        <w:tc>
          <w:tcPr>
            <w:tcW w:type="dxa" w:w="3120"/>
          </w:tcPr>
          <w:p>
            <w:pPr>
              <w:spacing w:before="60" w:after="60"/>
            </w:pPr>
            <w:r>
              <w:rPr>
                <w:rFonts w:ascii="Calibri" w:hAnsi="Calibri"/>
                <w:sz w:val="19"/>
              </w:rPr>
              <w:t>Residential Services</w:t>
            </w:r>
          </w:p>
        </w:tc>
      </w:tr>
    </w:tbl>
    <w:p>
      <w:pPr>
        <w:spacing w:before="40" w:after="40"/>
      </w:pPr>
    </w:p>
    <w:p>
      <w:pPr>
        <w:pStyle w:val="Heading2"/>
        <w:spacing w:before="240" w:after="80"/>
      </w:pPr>
      <w:r>
        <w:rPr>
          <w:rFonts w:ascii="Calibri" w:hAnsi="Calibri"/>
          <w:color w:val="003366"/>
          <w:sz w:val="26"/>
        </w:rPr>
        <w:t>3. Location, Connectivity &amp; Ambience</w:t>
      </w:r>
    </w:p>
    <w:p>
      <w:pPr>
        <w:spacing w:before="40" w:after="80" w:line="276" w:lineRule="auto"/>
      </w:pPr>
      <w:r>
        <w:rPr>
          <w:rFonts w:ascii="Calibri" w:hAnsi="Calibri"/>
          <w:sz w:val="20"/>
        </w:rPr>
        <w:t>The campus is situated along the major educational highway corridor of National Highway 24 (NH-24), connecting Lucknow and Sitapur. It is situated in the educational hub of Bakshi ka Talab (BKT), Lucknow - 226201:</w:t>
      </w:r>
    </w:p>
    <w:p>
      <w:pPr>
        <w:pStyle w:val="ListBullet"/>
        <w:spacing w:before="20" w:after="40"/>
      </w:pPr>
      <w:r>
        <w:rPr>
          <w:rFonts w:ascii="Calibri" w:hAnsi="Calibri"/>
          <w:b/>
          <w:sz w:val="20"/>
        </w:rPr>
        <w:t>Campus Environment:</w:t>
      </w:r>
      <w:r>
        <w:rPr>
          <w:rFonts w:ascii="Calibri" w:hAnsi="Calibri"/>
          <w:sz w:val="20"/>
        </w:rPr>
        <w:t xml:space="preserve"> A pollution-free, green 65-acre ecosystem designed with state-of-the-art academic complexes, futuristic laboratories, residential blocks, auditoriums, and sports facilities.</w:t>
      </w:r>
    </w:p>
    <w:p>
      <w:pPr>
        <w:pStyle w:val="ListBullet"/>
        <w:spacing w:before="20" w:after="40"/>
      </w:pPr>
      <w:r>
        <w:rPr>
          <w:rFonts w:ascii="Calibri" w:hAnsi="Calibri"/>
          <w:b/>
          <w:sz w:val="20"/>
        </w:rPr>
        <w:t>Urban Transit:</w:t>
      </w:r>
      <w:r>
        <w:rPr>
          <w:rFonts w:ascii="Calibri" w:hAnsi="Calibri"/>
          <w:sz w:val="20"/>
        </w:rPr>
        <w:t xml:space="preserve"> Seamless connectivity via college-operated transit fleets serving students and staff across Lucknow city and adjoining regions.</w:t>
      </w:r>
    </w:p>
    <w:p>
      <w:pPr>
        <w:pStyle w:val="Heading2"/>
        <w:spacing w:before="240" w:after="80"/>
      </w:pPr>
      <w:r>
        <w:rPr>
          <w:rFonts w:ascii="Calibri" w:hAnsi="Calibri"/>
          <w:color w:val="003366"/>
          <w:sz w:val="26"/>
        </w:rPr>
        <w:t>4. Academic Structure &amp; Disciplines</w:t>
      </w:r>
    </w:p>
    <w:p>
      <w:pPr>
        <w:spacing w:before="40" w:after="80" w:line="276" w:lineRule="auto"/>
      </w:pPr>
      <w:r>
        <w:rPr>
          <w:rFonts w:ascii="Calibri" w:hAnsi="Calibri"/>
          <w:sz w:val="20"/>
        </w:rPr>
        <w:t>SRGI Lucknow delivers undergraduate, postgraduate, and diploma programmes across four core academic faculties:</w:t>
      </w:r>
    </w:p>
    <w:p>
      <w:pPr>
        <w:pStyle w:val="ListNumber"/>
        <w:spacing w:before="20" w:after="40"/>
      </w:pPr>
      <w:r>
        <w:rPr>
          <w:rFonts w:ascii="Calibri" w:hAnsi="Calibri"/>
          <w:b/>
          <w:sz w:val="20"/>
        </w:rPr>
        <w:t>Faculty of Engineering &amp; Technology:</w:t>
      </w:r>
      <w:r>
        <w:rPr>
          <w:rFonts w:ascii="Calibri" w:hAnsi="Calibri"/>
          <w:sz w:val="20"/>
        </w:rPr>
        <w:t xml:space="preserve"> Offering Bachelor of Technology (B.Tech) and Master of Technology (M.Tech) degrees approved by AICTE and affiliated to Dr. A.P.J. Abdul Kalam Technical University (AKTU), Lucknow.</w:t>
      </w:r>
    </w:p>
    <w:p>
      <w:pPr>
        <w:pStyle w:val="ListNumber"/>
        <w:spacing w:before="20" w:after="40"/>
      </w:pPr>
      <w:r>
        <w:rPr>
          <w:rFonts w:ascii="Calibri" w:hAnsi="Calibri"/>
          <w:b/>
          <w:sz w:val="20"/>
        </w:rPr>
        <w:t>Faculty of Management Studies:</w:t>
      </w:r>
      <w:r>
        <w:rPr>
          <w:rFonts w:ascii="Calibri" w:hAnsi="Calibri"/>
          <w:sz w:val="20"/>
        </w:rPr>
        <w:t xml:space="preserve"> Offering Master of Business Administration (MBA), Integrated MBA (IMBA), and Applied Global Management Programmes (AGMP).</w:t>
      </w:r>
    </w:p>
    <w:p>
      <w:pPr>
        <w:pStyle w:val="ListNumber"/>
        <w:spacing w:before="20" w:after="40"/>
      </w:pPr>
      <w:r>
        <w:rPr>
          <w:rFonts w:ascii="Calibri" w:hAnsi="Calibri"/>
          <w:b/>
          <w:sz w:val="20"/>
        </w:rPr>
        <w:t>Faculty of Skill &amp; Vocational Studies:</w:t>
      </w:r>
      <w:r>
        <w:rPr>
          <w:rFonts w:ascii="Calibri" w:hAnsi="Calibri"/>
          <w:sz w:val="20"/>
        </w:rPr>
        <w:t xml:space="preserve"> Offering UGC-recognized Bachelor of Vocation (B.Voc) programmes in software development, banking &amp; finance, and automotive engineering.</w:t>
      </w:r>
    </w:p>
    <w:p>
      <w:pPr>
        <w:pStyle w:val="ListNumber"/>
        <w:spacing w:before="20" w:after="40"/>
      </w:pPr>
      <w:r>
        <w:rPr>
          <w:rFonts w:ascii="Calibri" w:hAnsi="Calibri"/>
          <w:b/>
          <w:sz w:val="20"/>
        </w:rPr>
        <w:t>Faculty of Medical &amp; Allied Health Sciences:</w:t>
      </w:r>
      <w:r>
        <w:rPr>
          <w:rFonts w:ascii="Calibri" w:hAnsi="Calibri"/>
          <w:sz w:val="20"/>
        </w:rPr>
        <w:t xml:space="preserve"> Offering Diploma in Pharmacy (D.Pharm), Ayurvedic nursing, and homeopathic pharmacy.</w:t>
      </w:r>
    </w:p>
    <w:p>
      <w:pPr>
        <w:pStyle w:val="Heading2"/>
        <w:spacing w:before="240" w:after="80"/>
      </w:pPr>
      <w:r>
        <w:rPr>
          <w:rFonts w:ascii="Calibri" w:hAnsi="Calibri"/>
          <w:color w:val="003366"/>
          <w:sz w:val="26"/>
        </w:rPr>
        <w:t>5. Vision and Mission Framework</w:t>
      </w:r>
    </w:p>
    <w:p>
      <w:pPr>
        <w:pStyle w:val="ListBullet"/>
        <w:spacing w:before="20" w:after="40"/>
      </w:pPr>
      <w:r>
        <w:rPr>
          <w:rFonts w:ascii="Calibri" w:hAnsi="Calibri"/>
          <w:b/>
          <w:sz w:val="20"/>
        </w:rPr>
        <w:t>Vision:</w:t>
      </w:r>
      <w:r>
        <w:rPr>
          <w:rFonts w:ascii="Calibri" w:hAnsi="Calibri"/>
          <w:sz w:val="20"/>
        </w:rPr>
        <w:t xml:space="preserve"> To evolve into an institution of enduring distinction that imparts high-quality technical and professional education infused with the core essentials of Shiksha, Sanskar, and Rojgar.</w:t>
      </w:r>
    </w:p>
    <w:p>
      <w:pPr>
        <w:pStyle w:val="ListBullet"/>
        <w:spacing w:before="20" w:after="40"/>
      </w:pPr>
      <w:r>
        <w:rPr>
          <w:rFonts w:ascii="Calibri" w:hAnsi="Calibri"/>
          <w:b/>
          <w:sz w:val="20"/>
        </w:rPr>
        <w:t>Mission:</w:t>
      </w:r>
    </w:p>
    <w:p>
      <w:pPr>
        <w:pStyle w:val="ListBullet"/>
        <w:spacing w:before="20" w:after="40"/>
        <w:ind w:left="720"/>
      </w:pPr>
      <w:r>
        <w:rPr>
          <w:rFonts w:ascii="Calibri" w:hAnsi="Calibri"/>
          <w:i/>
          <w:sz w:val="20"/>
        </w:rPr>
        <w:t>M1:</w:t>
      </w:r>
      <w:r>
        <w:rPr>
          <w:rFonts w:ascii="Calibri" w:hAnsi="Calibri"/>
          <w:sz w:val="20"/>
        </w:rPr>
        <w:t xml:space="preserve"> Facilitate technology-enabled holistic learning programmes for student empowerment.</w:t>
      </w:r>
    </w:p>
    <w:p>
      <w:pPr>
        <w:pStyle w:val="ListBullet"/>
        <w:spacing w:before="20" w:after="40"/>
        <w:ind w:left="720"/>
      </w:pPr>
      <w:r>
        <w:rPr>
          <w:rFonts w:ascii="Calibri" w:hAnsi="Calibri"/>
          <w:i/>
          <w:sz w:val="20"/>
        </w:rPr>
        <w:t>M2:</w:t>
      </w:r>
      <w:r>
        <w:rPr>
          <w:rFonts w:ascii="Calibri" w:hAnsi="Calibri"/>
          <w:sz w:val="20"/>
        </w:rPr>
        <w:t xml:space="preserve"> Inculcate principles of professional behaviour, teamwork, and ethical conduct for societal welfare.</w:t>
      </w:r>
    </w:p>
    <w:p>
      <w:pPr>
        <w:pStyle w:val="ListBullet"/>
        <w:spacing w:before="20" w:after="40"/>
        <w:ind w:left="720"/>
      </w:pPr>
      <w:r>
        <w:rPr>
          <w:rFonts w:ascii="Calibri" w:hAnsi="Calibri"/>
          <w:i/>
          <w:sz w:val="20"/>
        </w:rPr>
        <w:t>M3:</w:t>
      </w:r>
      <w:r>
        <w:rPr>
          <w:rFonts w:ascii="Calibri" w:hAnsi="Calibri"/>
          <w:sz w:val="20"/>
        </w:rPr>
        <w:t xml:space="preserve"> Equip students with competitive industry skills, job assurance, and entrepreneurial capabilities.</w:t>
      </w:r>
    </w:p>
    <w:p>
      <w:pPr>
        <w:pStyle w:val="Heading2"/>
        <w:spacing w:before="240" w:after="80"/>
      </w:pPr>
      <w:r>
        <w:rPr>
          <w:rFonts w:ascii="Calibri" w:hAnsi="Calibri"/>
          <w:color w:val="003366"/>
          <w:sz w:val="26"/>
        </w:rPr>
        <w:t>Related Information</w:t>
      </w:r>
    </w:p>
    <w:p>
      <w:pPr>
        <w:pStyle w:val="ListBullet"/>
        <w:spacing w:before="20" w:after="40"/>
      </w:pPr>
      <w:r>
        <w:rPr>
          <w:rFonts w:ascii="Consolas" w:hAnsi="Consolas"/>
          <w:color w:val="333333"/>
          <w:sz w:val="19"/>
        </w:rPr>
        <w:t>srgi_lucknow_heritage_and_inspiration</w:t>
      </w:r>
    </w:p>
    <w:p>
      <w:pPr>
        <w:pStyle w:val="ListBullet"/>
        <w:spacing w:before="20" w:after="40"/>
      </w:pPr>
      <w:r>
        <w:rPr>
          <w:rFonts w:ascii="Consolas" w:hAnsi="Consolas"/>
          <w:color w:val="333333"/>
          <w:sz w:val="19"/>
        </w:rPr>
        <w:t>srgi_lucknow_academic_units_overview</w:t>
      </w:r>
    </w:p>
    <w:p>
      <w:pPr>
        <w:pStyle w:val="ListBullet"/>
        <w:spacing w:before="20" w:after="40"/>
      </w:pPr>
      <w:r>
        <w:rPr>
          <w:rFonts w:ascii="Consolas" w:hAnsi="Consolas"/>
          <w:color w:val="333333"/>
          <w:sz w:val="19"/>
        </w:rPr>
        <w:t>srgi_lucknow_campus_contacts_and_directions</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9">
        <w:r>
          <w:rPr>
            <w:color w:val="004B87"/>
            <w:u w:val="single"/>
          </w:rPr>
          <w:t xml:space="preserve">https://srgi.in</w:t>
        </w:r>
      </w:hyperlink>
    </w:p>
    <w:p>
      <w:pPr>
        <w:pStyle w:val="ListBullet"/>
        <w:spacing w:before="20" w:after="40"/>
        <w:ind w:left="720"/>
      </w:pPr>
      <w:hyperlink r:id="rId10">
        <w:r>
          <w:rPr>
            <w:color w:val="004B87"/>
            <w:u w:val="single"/>
          </w:rPr>
          <w:t xml:space="preserve">https://srgi.in/about</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