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SRGI Lucknow Board of Governors — Composition and Strategic Counsel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02 Governance And Leadership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Official membership, profiles, medical/academic credentials, and strategic guidance of the SRGI Board of Governors.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Governance Charter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Board of Governors at SRGI Lucknow functions as the apex strategic policy body, steering institutional priorities, infrastructure expansion, quality benchmarks, and healthcare/technical integrations.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Distinguished Governors</w:t>
      </w:r>
    </w:p>
    <w:p>
      <w:pPr>
        <w:pStyle w:val="Heading3"/>
        <w:spacing w:before="160" w:after="40"/>
      </w:pPr>
      <w:r>
        <w:rPr>
          <w:rFonts w:ascii="Calibri" w:hAnsi="Calibri"/>
          <w:color w:val="004B87"/>
          <w:sz w:val="23"/>
        </w:rPr>
        <w:t>Dr. Vaibhav Pratap Singh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Qualifications:</w:t>
      </w:r>
      <w:r>
        <w:rPr>
          <w:rFonts w:ascii="Calibri" w:hAnsi="Calibri"/>
          <w:sz w:val="20"/>
        </w:rPr>
        <w:t xml:space="preserve"> MBBS, DNB (Radiodiagnosis), PDCC (Abdominal Imaging)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Designation:</w:t>
      </w:r>
      <w:r>
        <w:rPr>
          <w:rFonts w:ascii="Calibri" w:hAnsi="Calibri"/>
          <w:sz w:val="20"/>
        </w:rPr>
        <w:t xml:space="preserve"> Member, Board of Governors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Guiding Philosophy: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i/>
          <w:sz w:val="20"/>
        </w:rPr>
        <w:t>"Today is your opportunity to build the tomorrow you want!"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Counsel:</w:t>
      </w:r>
      <w:r>
        <w:rPr>
          <w:rFonts w:ascii="Calibri" w:hAnsi="Calibri"/>
          <w:sz w:val="20"/>
        </w:rPr>
        <w:t xml:space="preserve"> Emphasizes unearthing students' limitless potential through experiential learning, industry-specific curriculum alignment, and cultivating strong, ethical leaders prepared to address national and global challenges.</w:t>
      </w:r>
    </w:p>
    <w:p>
      <w:pPr>
        <w:pStyle w:val="Heading3"/>
        <w:spacing w:before="160" w:after="40"/>
      </w:pPr>
      <w:r>
        <w:rPr>
          <w:rFonts w:ascii="Calibri" w:hAnsi="Calibri"/>
          <w:color w:val="004B87"/>
          <w:sz w:val="23"/>
        </w:rPr>
        <w:t>Dr. Pallavi Singh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Qualifications:</w:t>
      </w:r>
      <w:r>
        <w:rPr>
          <w:rFonts w:ascii="Calibri" w:hAnsi="Calibri"/>
          <w:sz w:val="20"/>
        </w:rPr>
        <w:t xml:space="preserve"> MBBS, MS (Ophthalmology)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Designation:</w:t>
      </w:r>
      <w:r>
        <w:rPr>
          <w:rFonts w:ascii="Calibri" w:hAnsi="Calibri"/>
          <w:sz w:val="20"/>
        </w:rPr>
        <w:t xml:space="preserve"> Member, Board of Governors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Guiding Philosophy: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i/>
          <w:sz w:val="20"/>
        </w:rPr>
        <w:t>"Purpose of education is to moralize and socialize the people."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Counsel:</w:t>
      </w:r>
      <w:r>
        <w:rPr>
          <w:rFonts w:ascii="Calibri" w:hAnsi="Calibri"/>
          <w:sz w:val="20"/>
        </w:rPr>
        <w:t xml:space="preserve"> Underscores that technical and management education is essential for societal transformation, economic prosperity, and global progress. Champions the continuous development of world-class infrastructure and competitive laboratories to rival top international institutions.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Governance Responsibilities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Institutional accreditation, quality audit approvals, and statutory compliance.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Long-term capital investments in laboratory machinery, library automation, and campus expansion.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Healthcare educational synergies across Ayurvedic and medical units.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srgi_lucknow_board_of_directors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srgi_lucknow_administrative_heads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https://srgi.in/board-of-governors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board-of-govern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