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SRGI Lucknow Constituent Academic Units and Institutional Network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03 Constituent Units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Comprehensive directory of official academic units, specialized schools, affiliated colleges, and external domains operating under the SR Group of Institutions ecosystem.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The Institutional Ecosystem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S. R. Group of Institutions umbrella encompasses distinct colleges, professional schools, and foundational academies operating on the Lucknow campus and affiliated facilities: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Academic Unit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Primary Focus &amp; Degree Levels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Official Website / Domain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S. R. Institute of Management &amp; Technology (SRIMT)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Engineering (B.Tech, M.Tech), Management (MBA, IMBA), Vocational (B.Voc)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https://srimt.co.in/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SRM Business School (SRMBS)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Postgraduate Business Management, Executive Studies &amp; Leadership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https://srmbs.in/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SRM Ayush Institute of Medical Sciences (SRMAIMS)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Ayurvedic Pharmacy, Nursing, Homeopathy, Allied Healthcare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https://srmaims.in/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SR Global School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K-12 Quality Schooling, CBSE Board Curricula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https://www.srglobalschool.org/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SR International School &amp; Sports Academy (SRISA)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Sports Training, Residential Schooling &amp; Athletic Coaching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https://www.srisa.in/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Academic Integration &amp; Shared Campus Resources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All collegiate academic units share the core 65-acre Sitapur Road infrastructure: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Centralized Infrastructure:</w:t>
      </w:r>
      <w:r>
        <w:rPr>
          <w:rFonts w:ascii="Calibri" w:hAnsi="Calibri"/>
          <w:sz w:val="20"/>
        </w:rPr>
        <w:t xml:space="preserve"> Shared access to the Central Library (53,760+ volumes), Olympic-standard 6-track swimming pool, central auditoriums, sports arenas, and cafeteria.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Placement &amp; Training Hub:</w:t>
      </w:r>
      <w:r>
        <w:rPr>
          <w:rFonts w:ascii="Calibri" w:hAnsi="Calibri"/>
          <w:sz w:val="20"/>
        </w:rPr>
        <w:t xml:space="preserve"> Unified recruitment pipeline through the Central Training &amp; Placement Cell, ensuring students across SRIMT and SRMBS participate in unified placement drives.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Administrative ERP:</w:t>
      </w:r>
      <w:r>
        <w:rPr>
          <w:rFonts w:ascii="Calibri" w:hAnsi="Calibri"/>
          <w:sz w:val="20"/>
        </w:rPr>
        <w:t xml:space="preserve"> Centralized student management system powered by connectSR (https://connectsr.in/) for attendance, marks, fees, and sessional tracking.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https://srgi.in/about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