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Master of Technology (M.Tech) Postgraduate Programmes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04 Programmes Engineering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Postgraduate engineering specializations in Computer Science &amp; Engineering and Mechanical Engineering (Production), 2-year duration, intake of 18 seats each.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Programme Overview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Degree Awarded:</w:t>
      </w:r>
      <w:r>
        <w:rPr>
          <w:rFonts w:ascii="Calibri" w:hAnsi="Calibri"/>
          <w:sz w:val="20"/>
        </w:rPr>
        <w:t xml:space="preserve"> Master of Technology (M.Tech)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Programme Duration:</w:t>
      </w:r>
      <w:r>
        <w:rPr>
          <w:rFonts w:ascii="Calibri" w:hAnsi="Calibri"/>
          <w:sz w:val="20"/>
        </w:rPr>
        <w:t xml:space="preserve"> 2 Academic Years (4 Semesters)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Regulatory Approval:</w:t>
      </w:r>
      <w:r>
        <w:rPr>
          <w:rFonts w:ascii="Calibri" w:hAnsi="Calibri"/>
          <w:sz w:val="20"/>
        </w:rPr>
        <w:t xml:space="preserve"> AICTE, New Delhi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University Affiliation:</w:t>
      </w:r>
      <w:r>
        <w:rPr>
          <w:rFonts w:ascii="Calibri" w:hAnsi="Calibri"/>
          <w:sz w:val="20"/>
        </w:rPr>
        <w:t xml:space="preserve"> Dr. A.P.J. Abdul Kalam Technical University (AKTU), Lucknow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Target Audience:</w:t>
      </w:r>
      <w:r>
        <w:rPr>
          <w:rFonts w:ascii="Calibri" w:hAnsi="Calibri"/>
          <w:sz w:val="20"/>
        </w:rPr>
        <w:t xml:space="preserve"> Engineering graduates and working professionals aspiring for advanced research, R&amp;D corporate roles, tech leadership, or doctoral academia.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Postgraduate Disciplines &amp; Sanctioned Intake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03366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M.Tech Specialization</w:t>
            </w:r>
          </w:p>
        </w:tc>
        <w:tc>
          <w:tcPr>
            <w:tcW w:type="dxa" w:w="3120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Sanctioned Annual Intake</w:t>
            </w:r>
          </w:p>
        </w:tc>
        <w:tc>
          <w:tcPr>
            <w:tcW w:type="dxa" w:w="3120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Curricular Core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Computer Science &amp; Engineering (CSE)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18 Seats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Advanced Algorithms, Machine Learning Architectures, Cloud Infrastructure, High-Performance Computing, Distributed Systems.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Mechanical Engineering (Production)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18 Seats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Advanced Manufacturing Processes, Automated Production Systems, Industrial Robotics, Supply Chain Engineering, CAD/CAM Optimization.</w:t>
            </w:r>
          </w:p>
        </w:tc>
      </w:tr>
    </w:tbl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3. Eligibility &amp; Admission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Candidates must possess a Bachelor's degree in relevant engineering branch (B.E. / B.Tech) with a minimum of 50% marks (45% for reserved category).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Preference is accorded to GATE-qualified candidates, followed by university admission counselling merit.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srgi_lucknow_btech_computer_science_engineering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srgi_lucknow_btech_mechanical_engineering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https://srgi.in/mtech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mte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