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Master of Business Administration (MBA) — 2-Year Full-Time Programme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05 Programmes Management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Full-time 2-year MBA programme, sanctioned intake of 240 seats, major specializations (Marketing, Finance, HR, IT, Operations), eligibility, and career outcomes.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Degree:</w:t>
      </w:r>
      <w:r>
        <w:rPr>
          <w:rFonts w:ascii="Calibri" w:hAnsi="Calibri"/>
          <w:sz w:val="20"/>
        </w:rPr>
        <w:t xml:space="preserve"> Master of Business Administration (MBA)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2 Academic Years (4 Semesters)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240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Affiliation:</w:t>
      </w:r>
      <w:r>
        <w:rPr>
          <w:rFonts w:ascii="Calibri" w:hAnsi="Calibri"/>
          <w:sz w:val="20"/>
        </w:rPr>
        <w:t xml:space="preserve"> Dr. A.P.J. Abdul Kalam Technical University (AKTU), Lucknow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Approval:</w:t>
      </w:r>
      <w:r>
        <w:rPr>
          <w:rFonts w:ascii="Calibri" w:hAnsi="Calibri"/>
          <w:sz w:val="20"/>
        </w:rPr>
        <w:t xml:space="preserve"> AICTE, New Delhi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Programme Specializations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Students choose functional dual specializations in the second year: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Marketing Management:</w:t>
      </w:r>
      <w:r>
        <w:rPr>
          <w:rFonts w:ascii="Calibri" w:hAnsi="Calibri"/>
          <w:sz w:val="20"/>
        </w:rPr>
        <w:t xml:space="preserve"> Digital Marketing, Consumer Behaviour, Brand Strategy, Sales &amp; Distribution.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Financial Management:</w:t>
      </w:r>
      <w:r>
        <w:rPr>
          <w:rFonts w:ascii="Calibri" w:hAnsi="Calibri"/>
          <w:sz w:val="20"/>
        </w:rPr>
        <w:t xml:space="preserve"> Corporate Finance, Investment Banking, Financial Derivatives, Security Analysis.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Human Resource Management (HRM):</w:t>
      </w:r>
      <w:r>
        <w:rPr>
          <w:rFonts w:ascii="Calibri" w:hAnsi="Calibri"/>
          <w:sz w:val="20"/>
        </w:rPr>
        <w:t xml:space="preserve"> Talent Acquisition, Industrial Relations, Organisational Development.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Information Technology:</w:t>
      </w:r>
      <w:r>
        <w:rPr>
          <w:rFonts w:ascii="Calibri" w:hAnsi="Calibri"/>
          <w:sz w:val="20"/>
        </w:rPr>
        <w:t xml:space="preserve"> Enterprise Systems, Business Analytics, E-Commerce Management.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Operations &amp; Supply Chain:</w:t>
      </w:r>
      <w:r>
        <w:rPr>
          <w:rFonts w:ascii="Calibri" w:hAnsi="Calibri"/>
          <w:sz w:val="20"/>
        </w:rPr>
        <w:t xml:space="preserve"> Logistics Optimization, Quality Management, Project Management.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Eligibility &amp; Admission Procedure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Academic Eligibility:</w:t>
      </w:r>
      <w:r>
        <w:rPr>
          <w:rFonts w:ascii="Calibri" w:hAnsi="Calibri"/>
          <w:sz w:val="20"/>
        </w:rPr>
        <w:t xml:space="preserve"> Recognized Bachelor's degree (any discipline) with at least 50% aggregate marks (45% for SC/ST).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Selection Basis:</w:t>
      </w:r>
      <w:r>
        <w:rPr>
          <w:rFonts w:ascii="Calibri" w:hAnsi="Calibri"/>
          <w:sz w:val="20"/>
        </w:rPr>
        <w:t xml:space="preserve"> Through CUET-PG / UPTAC counselling scores or institutional management quota merit.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4. Placement Opportunities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Graduates are hired across banking, financial services, FMCG, IT consultancy, retail, and edtech sectors.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srgi_lucknow_management_overview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srgi_lucknow_integrated_mba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https://srgi.in/management/mba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management/m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