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B.Voc in Banking, Financial Services and Insurance (BFSI)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07 Programmes Vocation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BFSI vocational degree, sanctioned intake of 120 seats, retail banking, insurance operations, stock markets, wealth management.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Vocation in Banking, Financial Services, and Insurance (BFSI)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120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3 Years (6 Semesters)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Core Industry Competencies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Retail &amp; Commercial Banking Procedures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Insurance Policy Underwriting &amp; Claims Processing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Financial Accounting, Tally ERP, and Taxation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Mutual Funds, Equity Markets, and Wealth Management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Employment Partners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are recruited by private banks, micro-finance institutions, NBFCs, insurance brokers, and accounting firms.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srgi_lucknow_mba_programme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https://srgi.in/bvoc/bfsi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voc/bf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