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Bachelor of Vocation (B.Voc) Programmes — UGC Skill Education Framework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07 Programmes Vocation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UGC-approved 3-year B.Voc degree framework, 60% practical training and 40% theory ratio, work-integrated learning, multiple exit qualifications, and branches.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Framework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 Awarded:</w:t>
      </w:r>
      <w:r>
        <w:rPr>
          <w:rFonts w:ascii="Calibri" w:hAnsi="Calibri"/>
          <w:sz w:val="20"/>
        </w:rPr>
        <w:t xml:space="preserve"> Bachelor of Vocation (B.Voc)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3 Academic Years (6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Accreditation:</w:t>
      </w:r>
      <w:r>
        <w:rPr>
          <w:rFonts w:ascii="Calibri" w:hAnsi="Calibri"/>
          <w:sz w:val="20"/>
        </w:rPr>
        <w:t xml:space="preserve"> University Grants Commission (UGC) approved undergraduate degree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Instructional Ratio:</w:t>
      </w:r>
      <w:r>
        <w:rPr>
          <w:rFonts w:ascii="Calibri" w:hAnsi="Calibri"/>
          <w:sz w:val="20"/>
        </w:rPr>
        <w:t xml:space="preserve"> 60% Practical &amp; Industry Training : 40% Academic Theory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Multiple Exit &amp; Entry Points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Under the National Skills Qualifications Framework (NSQF), students have flexible exit certifications: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1st Year Completion:</w:t>
      </w:r>
      <w:r>
        <w:rPr>
          <w:rFonts w:ascii="Calibri" w:hAnsi="Calibri"/>
          <w:sz w:val="20"/>
        </w:rPr>
        <w:t xml:space="preserve"> Diploma in Vocation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2nd Year Completion:</w:t>
      </w:r>
      <w:r>
        <w:rPr>
          <w:rFonts w:ascii="Calibri" w:hAnsi="Calibri"/>
          <w:sz w:val="20"/>
        </w:rPr>
        <w:t xml:space="preserve"> Advanced Diploma in Vocation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3rd Year Completion:</w:t>
      </w:r>
      <w:r>
        <w:rPr>
          <w:rFonts w:ascii="Calibri" w:hAnsi="Calibri"/>
          <w:sz w:val="20"/>
        </w:rPr>
        <w:t xml:space="preserve"> Full Bachelor of Vocation (B.Voc) Degree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Branches Offered &amp; Sanctioned Intakes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CCCCCC"/>
          <w:bottom w:val="single" w:sz="6" w:space="0" w:color="003366"/>
          <w:insideH w:val="single" w:sz="4" w:space="0" w:color="E0E0E0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B.Voc Discipline</w:t>
            </w:r>
          </w:p>
        </w:tc>
        <w:tc>
          <w:tcPr>
            <w:tcW w:type="dxa" w:w="234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Code</w:t>
            </w:r>
          </w:p>
        </w:tc>
        <w:tc>
          <w:tcPr>
            <w:tcW w:type="dxa" w:w="234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Sanctioned Intake</w:t>
            </w:r>
          </w:p>
        </w:tc>
        <w:tc>
          <w:tcPr>
            <w:tcW w:type="dxa" w:w="2340"/>
            <w:shd w:fill="EEF2F7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003366"/>
                <w:sz w:val="19"/>
              </w:rPr>
              <w:t>Primary Industry Sectors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Banking, Financial Services &amp; Insurance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BFSI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120 Seats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Retail Banking, Mutual Funds, Insurance, Wealth Management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Software Development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SD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90 Seats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Web Development, App Engineering, QA Testing, UI/UX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Automobile Engineering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AE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30 Seats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Vehicle Diagnostics, Auto Manufacturing, Service Management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Total B.Voc Intake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sz w:val="19"/>
              </w:rPr>
              <w:t>240 Seats</w:t>
            </w:r>
          </w:p>
        </w:tc>
        <w:tc>
          <w:tcPr>
            <w:tcW w:type="dxa" w:w="2340"/>
          </w:tcPr>
          <w:p>
            <w:pPr>
              <w:spacing w:before="60" w:after="60"/>
            </w:pPr>
            <w:r>
              <w:rPr>
                <w:rFonts w:ascii="Calibri" w:hAnsi="Calibri"/>
                <w:sz w:val="19"/>
              </w:rPr>
              <w:t>—</w:t>
            </w:r>
          </w:p>
        </w:tc>
      </w:tr>
    </w:tbl>
    <w:p>
      <w:pPr>
        <w:spacing w:before="40" w:after="40"/>
      </w:pP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srgi_lucknow_bvoc_software_development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srgi_lucknow_bvoc_banking_financial_services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srgi_lucknow_bvoc_automobile_engineering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https://srgi.in/bvoc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v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