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Smart Classrooms and Digital Learning Spaces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09 Campus Facilities And Services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Audio-visual smart classrooms, interactive digital touch panels, acoustic architecture, hybrid lecture capabilities across academic blocks.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Modern Pedagogical Spaces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 xml:space="preserve">All major lecture theatres and classrooms across SRGI are upgraded into </w:t>
      </w:r>
      <w:r>
        <w:rPr>
          <w:rFonts w:ascii="Calibri" w:hAnsi="Calibri"/>
          <w:b/>
          <w:sz w:val="20"/>
        </w:rPr>
        <w:t>Smart Classrooms</w:t>
      </w:r>
      <w:r>
        <w:rPr>
          <w:rFonts w:ascii="Calibri" w:hAnsi="Calibri"/>
          <w:sz w:val="20"/>
        </w:rPr>
        <w:t xml:space="preserve"> equipped with high-definition digital projectors, interactive touchscreens, and acoustic amplification systems.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Technology Capabilities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Multi-media lecture delivery integrating slides, 3D simulations, and video demonstrations.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Hybrid connectivity supporting live remote webinars and guest talks.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Ergonomic, tiered seating configurations ensuring unobstructed visibility.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srgi_lucknow_seminar_halls_and_conference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srgi_lucknow_central_library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https://srgi.in/smart-classroom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smart-classro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