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Placement Performance Dashboard and Top Recruiting Partners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10 Placements And Careers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Verified placement metrics, 42 LPA highest package, 4 LPA average package, 24,888+ job opportunities, 900+ visiting recruiters, multiple-offer statistics.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Placement Performance Dashboard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verified institutional placement dashboard showcases exceptional career outcomes: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Placement Indicator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Official Metric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Verification Record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Highest Salary Package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42.00 LPA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Corporate Recruiting Office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Average Salary Package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4.00 LPA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Batch Compensation Mean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Overall Placement Rate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95.6%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Eligible Graduates Tracked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 Job Opportunities Created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24,888+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Cumulative Corporate Openings Across Placement Drives (Distinguished from Unique Students Placed)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Overall Placement Rate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95.6%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Graduating Cohort Success Ratio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Corporate Recruiters Visited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900+ Companies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Ten-Year Corporate Roster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Average Offers Per Student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2.3 Offers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Student Placement Distribution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Students Securing &gt;2 Offers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71%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Multiple-Offer Beneficiaries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Students Securing &gt;3 Offers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43%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High-Aptitude Beneficiaries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Certificates Awarded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1,90,000+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Skill &amp; Workshop Certifications</w:t>
            </w:r>
          </w:p>
        </w:tc>
      </w:tr>
    </w:tbl>
    <w:p>
      <w:pPr>
        <w:spacing w:before="40" w:after="40"/>
      </w:pPr>
    </w:p>
    <w:p>
      <w:pPr>
        <w:pStyle w:val="Heading3"/>
        <w:spacing w:before="160" w:after="40"/>
      </w:pPr>
      <w:r>
        <w:rPr>
          <w:rFonts w:ascii="Calibri" w:hAnsi="Calibri"/>
          <w:color w:val="004B87"/>
          <w:sz w:val="23"/>
        </w:rPr>
        <w:t>Metric Context &amp; Disambiguation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24,888+ Job Opportunities:</w:t>
      </w:r>
      <w:r>
        <w:rPr>
          <w:rFonts w:ascii="Calibri" w:hAnsi="Calibri"/>
          <w:sz w:val="20"/>
        </w:rPr>
        <w:t xml:space="preserve"> Represents the cumulative number of job openings, interview slots, and corporate selection opportunities generated across recruitment cycles (with an average of 2.3 offers per student).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95.6% Placement Rate:</w:t>
      </w:r>
      <w:r>
        <w:rPr>
          <w:rFonts w:ascii="Calibri" w:hAnsi="Calibri"/>
          <w:sz w:val="20"/>
        </w:rPr>
        <w:t xml:space="preserve"> Represents the verified proportion of eligible and registered graduating students who secured employment through on-campus and joint pool recruitment drives.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42.00 LPA Highest Package:</w:t>
      </w:r>
      <w:r>
        <w:rPr>
          <w:rFonts w:ascii="Calibri" w:hAnsi="Calibri"/>
          <w:sz w:val="20"/>
        </w:rPr>
        <w:t xml:space="preserve"> Top institutional offer secured by top-tier engineering talent.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4.00 LPA Average Package:</w:t>
      </w:r>
      <w:r>
        <w:rPr>
          <w:rFonts w:ascii="Calibri" w:hAnsi="Calibri"/>
          <w:sz w:val="20"/>
        </w:rPr>
        <w:t xml:space="preserve"> Mean compensation benchmark across multi-disciplinary recruitment batches.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Leading Corporate Recruiting Partners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SRGI graduates are actively hired across multinational technology conglomerates, core engineering powerhouses, financial institutions, and fast-growing consulting startups: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IT &amp; Software Giants:</w:t>
      </w:r>
      <w:r>
        <w:rPr>
          <w:rFonts w:ascii="Calibri" w:hAnsi="Calibri"/>
          <w:sz w:val="20"/>
        </w:rPr>
        <w:t xml:space="preserve"> Tata Consultancy Services (TCS), Infosys, Wipro, HCL Technologies, Tech Mahindra, Cognizant, Capgemini.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Core Engineering &amp; Automotive:</w:t>
      </w:r>
      <w:r>
        <w:rPr>
          <w:rFonts w:ascii="Calibri" w:hAnsi="Calibri"/>
          <w:sz w:val="20"/>
        </w:rPr>
        <w:t xml:space="preserve"> Ashok Leyland, Tata Motors, L&amp;T Construction, Havells, Cummins, Bajaj Auto.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Financial &amp; Business Consultancies:</w:t>
      </w:r>
      <w:r>
        <w:rPr>
          <w:rFonts w:ascii="Calibri" w:hAnsi="Calibri"/>
          <w:sz w:val="20"/>
        </w:rPr>
        <w:t xml:space="preserve"> HDFC Bank, ICICI Bank, Axis Bank, Kotak Mahindra, Bajaj Finserv, Muthoot Finance.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EdTech &amp; Digital Enterprises:</w:t>
      </w:r>
      <w:r>
        <w:rPr>
          <w:rFonts w:ascii="Calibri" w:hAnsi="Calibri"/>
          <w:sz w:val="20"/>
        </w:rPr>
        <w:t xml:space="preserve"> BYJU's, PlanetSpark, Extramarks, IndiaMART, JustDial.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srgi_lucknow_training_and_placement_cell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https://srgi.in/top-placements</w:t>
        </w:r>
      </w:hyperlink>
    </w:p>
    <w:p>
      <w:pPr>
        <w:pStyle w:val="ListBullet"/>
        <w:spacing w:before="20" w:after="40"/>
        <w:ind w:left="720"/>
      </w:pP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top-plac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