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b/>
          <w:color w:val="003366"/>
          <w:sz w:val="34"/>
        </w:rPr>
        <w:t>Student Grievance Redressal Mechanism and Support Portal</w:t>
      </w:r>
    </w:p>
    <w:p>
      <w:pPr>
        <w:spacing w:after="240"/>
      </w:pPr>
      <w:r>
        <w:rPr>
          <w:rFonts w:ascii="Calibri" w:hAnsi="Calibri"/>
          <w:b/>
          <w:color w:val="555555"/>
          <w:sz w:val="19"/>
        </w:rPr>
        <w:t xml:space="preserve">S. R. Group of Institutions (SRGI), Lucknow  |  </w:t>
      </w:r>
      <w:r>
        <w:rPr>
          <w:rFonts w:ascii="Calibri" w:hAnsi="Calibri"/>
          <w:color w:val="777777"/>
          <w:sz w:val="19"/>
        </w:rPr>
        <w:t>Subject: 11 Student Life And Regulations</w:t>
      </w:r>
    </w:p>
    <w:p>
      <w:pPr>
        <w:pStyle w:val="Heading2"/>
        <w:spacing w:before="240" w:after="80"/>
      </w:pPr>
      <w:r>
        <w:rPr>
          <w:rFonts w:ascii="Calibri" w:hAnsi="Calibri"/>
          <w:color w:val="003366"/>
          <w:sz w:val="26"/>
        </w:rPr>
        <w:t>Scope</w:t>
      </w:r>
    </w:p>
    <w:p>
      <w:pPr>
        <w:spacing w:before="40" w:after="80" w:line="276" w:lineRule="auto"/>
      </w:pPr>
      <w:r>
        <w:rPr>
          <w:rFonts w:ascii="Calibri" w:hAnsi="Calibri"/>
          <w:sz w:val="20"/>
        </w:rPr>
        <w:t>This document outlines the student grievance redressal mechanism, the online submission portal, mandatory form fields, grievance categories, and administrative escalation pathways at S. R. Group of Institutions (SRGI), Lucknow, derived directly from the official web portal.</w:t>
      </w:r>
    </w:p>
    <w:p>
      <w:pPr>
        <w:pStyle w:val="Heading2"/>
        <w:spacing w:before="240" w:after="80"/>
      </w:pPr>
      <w:r>
        <w:rPr>
          <w:rFonts w:ascii="Calibri" w:hAnsi="Calibri"/>
          <w:color w:val="003366"/>
          <w:sz w:val="26"/>
        </w:rPr>
        <w:t>Official Grievance Redressal Portal</w:t>
      </w:r>
    </w:p>
    <w:p>
      <w:pPr>
        <w:spacing w:before="40" w:after="80" w:line="276" w:lineRule="auto"/>
      </w:pPr>
      <w:r>
        <w:rPr>
          <w:rFonts w:ascii="Calibri" w:hAnsi="Calibri"/>
          <w:sz w:val="20"/>
        </w:rPr>
        <w:t>SRGI Lucknow maintains an online Student Grievance Portal accessible directly on the official website:</w:t>
      </w:r>
    </w:p>
    <w:p>
      <w:pPr>
        <w:pStyle w:val="ListBullet"/>
        <w:spacing w:before="20" w:after="40"/>
      </w:pPr>
      <w:r>
        <w:rPr>
          <w:rFonts w:ascii="Calibri" w:hAnsi="Calibri"/>
          <w:b/>
          <w:sz w:val="20"/>
        </w:rPr>
        <w:t>Portal URL:</w:t>
      </w:r>
      <w:r>
        <w:rPr>
          <w:rFonts w:ascii="Calibri" w:hAnsi="Calibri"/>
          <w:sz w:val="20"/>
        </w:rPr>
        <w:t xml:space="preserve"> </w:t>
      </w:r>
      <w:hyperlink r:id="rId9">
        <w:r>
          <w:rPr>
            <w:color w:val="004B87"/>
            <w:u w:val="single"/>
          </w:rPr>
          <w:t xml:space="preserve">https://srgi.in/student-grievances</w:t>
        </w:r>
      </w:hyperlink>
    </w:p>
    <w:p>
      <w:pPr>
        <w:pStyle w:val="ListBullet"/>
        <w:spacing w:before="20" w:after="40"/>
      </w:pPr>
      <w:r>
        <w:rPr>
          <w:rFonts w:ascii="Calibri" w:hAnsi="Calibri"/>
          <w:b/>
          <w:sz w:val="20"/>
        </w:rPr>
        <w:t>Official Policy Statement:</w:t>
      </w:r>
      <w:r>
        <w:rPr>
          <w:rFonts w:ascii="Calibri" w:hAnsi="Calibri"/>
          <w:sz w:val="20"/>
        </w:rPr>
        <w:t xml:space="preserve"> </w:t>
      </w:r>
      <w:r>
        <w:rPr>
          <w:rFonts w:ascii="Calibri" w:hAnsi="Calibri"/>
          <w:i/>
          <w:sz w:val="20"/>
        </w:rPr>
        <w:t>"We are here to listen. Please fill out the form below, and your concern will be securely recorded and addressed by the administration."</w:t>
      </w:r>
    </w:p>
    <w:p>
      <w:pPr>
        <w:pStyle w:val="Heading2"/>
        <w:spacing w:before="240" w:after="80"/>
      </w:pPr>
      <w:r>
        <w:rPr>
          <w:rFonts w:ascii="Calibri" w:hAnsi="Calibri"/>
          <w:color w:val="003366"/>
          <w:sz w:val="26"/>
        </w:rPr>
        <w:t>Online Submission Form Specifications</w:t>
      </w:r>
    </w:p>
    <w:p>
      <w:pPr>
        <w:spacing w:before="40" w:after="80" w:line="276" w:lineRule="auto"/>
      </w:pPr>
      <w:r>
        <w:rPr>
          <w:rFonts w:ascii="Calibri" w:hAnsi="Calibri"/>
          <w:sz w:val="20"/>
        </w:rPr>
        <w:t>Students submitting a grievance through the official portal are required to provide the following structured data:</w:t>
      </w:r>
    </w:p>
    <w:tbl>
      <w:tblPr>
        <w:tblStyle w:val="TableGrid"/>
        <w:tblW w:type="auto" w:w="0"/>
        <w:jc w:val="center"/>
        <w:tblLayout w:type="autofit"/>
        <w:tblLook w:firstColumn="1" w:firstRow="1" w:lastColumn="0" w:lastRow="0" w:noHBand="0" w:noVBand="1" w:val="04A0"/>
        <w:tblBorders>
          <w:top w:val="single" w:sz="4" w:space="0" w:color="CCCCCC"/>
          <w:bottom w:val="single" w:sz="6" w:space="0" w:color="003366"/>
          <w:insideH w:val="single" w:sz="4" w:space="0" w:color="E0E0E0"/>
          <w:insideV w:val="none"/>
          <w:left w:val="none"/>
          <w:right w:val="none"/>
        </w:tblBorders>
      </w:tblPr>
      <w:tblGrid>
        <w:gridCol w:w="3120"/>
        <w:gridCol w:w="3120"/>
        <w:gridCol w:w="3120"/>
      </w:tblGrid>
      <w:tr>
        <w:tc>
          <w:tcPr>
            <w:tcW w:type="dxa" w:w="3120"/>
            <w:shd w:fill="EEF2F7"/>
          </w:tcPr>
          <w:p>
            <w:pPr>
              <w:spacing w:before="60" w:after="60"/>
            </w:pPr>
            <w:r>
              <w:rPr>
                <w:rFonts w:ascii="Calibri" w:hAnsi="Calibri"/>
                <w:b/>
                <w:color w:val="003366"/>
                <w:sz w:val="19"/>
              </w:rPr>
              <w:t>Field Name</w:t>
            </w:r>
          </w:p>
        </w:tc>
        <w:tc>
          <w:tcPr>
            <w:tcW w:type="dxa" w:w="3120"/>
            <w:shd w:fill="EEF2F7"/>
          </w:tcPr>
          <w:p>
            <w:pPr>
              <w:spacing w:before="60" w:after="60"/>
            </w:pPr>
            <w:r>
              <w:rPr>
                <w:rFonts w:ascii="Calibri" w:hAnsi="Calibri"/>
                <w:b/>
                <w:color w:val="003366"/>
                <w:sz w:val="19"/>
              </w:rPr>
              <w:t>Input Type</w:t>
            </w:r>
          </w:p>
        </w:tc>
        <w:tc>
          <w:tcPr>
            <w:tcW w:type="dxa" w:w="3120"/>
            <w:shd w:fill="EEF2F7"/>
          </w:tcPr>
          <w:p>
            <w:pPr>
              <w:spacing w:before="60" w:after="60"/>
            </w:pPr>
            <w:r>
              <w:rPr>
                <w:rFonts w:ascii="Calibri" w:hAnsi="Calibri"/>
                <w:b/>
                <w:color w:val="003366"/>
                <w:sz w:val="19"/>
              </w:rPr>
              <w:t>Description / Accepted Options</w:t>
            </w:r>
          </w:p>
        </w:tc>
      </w:tr>
      <w:tr>
        <w:tc>
          <w:tcPr>
            <w:tcW w:type="dxa" w:w="3120"/>
          </w:tcPr>
          <w:p>
            <w:pPr>
              <w:spacing w:before="60" w:after="60"/>
            </w:pPr>
            <w:r>
              <w:rPr>
                <w:rFonts w:ascii="Calibri" w:hAnsi="Calibri"/>
                <w:b/>
                <w:sz w:val="19"/>
              </w:rPr>
              <w:t>Full Name</w:t>
            </w:r>
          </w:p>
        </w:tc>
        <w:tc>
          <w:tcPr>
            <w:tcW w:type="dxa" w:w="3120"/>
          </w:tcPr>
          <w:p>
            <w:pPr>
              <w:spacing w:before="60" w:after="60"/>
            </w:pPr>
            <w:r>
              <w:rPr>
                <w:rFonts w:ascii="Calibri" w:hAnsi="Calibri"/>
                <w:sz w:val="19"/>
              </w:rPr>
              <w:t>Text Field</w:t>
            </w:r>
          </w:p>
        </w:tc>
        <w:tc>
          <w:tcPr>
            <w:tcW w:type="dxa" w:w="3120"/>
          </w:tcPr>
          <w:p>
            <w:pPr>
              <w:spacing w:before="60" w:after="60"/>
            </w:pPr>
            <w:r>
              <w:rPr>
                <w:rFonts w:ascii="Calibri" w:hAnsi="Calibri"/>
                <w:sz w:val="19"/>
              </w:rPr>
              <w:t>Complete official student name as enrolled.</w:t>
            </w:r>
          </w:p>
        </w:tc>
      </w:tr>
      <w:tr>
        <w:tc>
          <w:tcPr>
            <w:tcW w:type="dxa" w:w="3120"/>
          </w:tcPr>
          <w:p>
            <w:pPr>
              <w:spacing w:before="60" w:after="60"/>
            </w:pPr>
            <w:r>
              <w:rPr>
                <w:rFonts w:ascii="Calibri" w:hAnsi="Calibri"/>
                <w:b/>
                <w:sz w:val="19"/>
              </w:rPr>
              <w:t>Roll / Scholar Number</w:t>
            </w:r>
          </w:p>
        </w:tc>
        <w:tc>
          <w:tcPr>
            <w:tcW w:type="dxa" w:w="3120"/>
          </w:tcPr>
          <w:p>
            <w:pPr>
              <w:spacing w:before="60" w:after="60"/>
            </w:pPr>
            <w:r>
              <w:rPr>
                <w:rFonts w:ascii="Calibri" w:hAnsi="Calibri"/>
                <w:sz w:val="19"/>
              </w:rPr>
              <w:t>Text Field</w:t>
            </w:r>
          </w:p>
        </w:tc>
        <w:tc>
          <w:tcPr>
            <w:tcW w:type="dxa" w:w="3120"/>
          </w:tcPr>
          <w:p>
            <w:pPr>
              <w:spacing w:before="60" w:after="60"/>
            </w:pPr>
            <w:r>
              <w:rPr>
                <w:rFonts w:ascii="Calibri" w:hAnsi="Calibri"/>
                <w:sz w:val="19"/>
              </w:rPr>
              <w:t>Official university roll number or institute scholar ID.</w:t>
            </w:r>
          </w:p>
        </w:tc>
      </w:tr>
      <w:tr>
        <w:tc>
          <w:tcPr>
            <w:tcW w:type="dxa" w:w="3120"/>
          </w:tcPr>
          <w:p>
            <w:pPr>
              <w:spacing w:before="60" w:after="60"/>
            </w:pPr>
            <w:r>
              <w:rPr>
                <w:rFonts w:ascii="Calibri" w:hAnsi="Calibri"/>
                <w:b/>
                <w:sz w:val="19"/>
              </w:rPr>
              <w:t>Department / Course</w:t>
            </w:r>
          </w:p>
        </w:tc>
        <w:tc>
          <w:tcPr>
            <w:tcW w:type="dxa" w:w="3120"/>
          </w:tcPr>
          <w:p>
            <w:pPr>
              <w:spacing w:before="60" w:after="60"/>
            </w:pPr>
            <w:r>
              <w:rPr>
                <w:rFonts w:ascii="Calibri" w:hAnsi="Calibri"/>
                <w:sz w:val="19"/>
              </w:rPr>
              <w:t>Dropdown Selector</w:t>
            </w:r>
          </w:p>
        </w:tc>
        <w:tc>
          <w:tcPr>
            <w:tcW w:type="dxa" w:w="3120"/>
          </w:tcPr>
          <w:p>
            <w:pPr>
              <w:spacing w:before="60" w:after="60"/>
            </w:pPr>
            <w:r>
              <w:rPr>
                <w:rFonts w:ascii="Calibri" w:hAnsi="Calibri"/>
                <w:sz w:val="19"/>
              </w:rPr>
              <w:t>B.Tech, M.Tech, B.Voc, MBA, IMBA, Medical Sciences, Other.</w:t>
            </w:r>
          </w:p>
        </w:tc>
      </w:tr>
      <w:tr>
        <w:tc>
          <w:tcPr>
            <w:tcW w:type="dxa" w:w="3120"/>
          </w:tcPr>
          <w:p>
            <w:pPr>
              <w:spacing w:before="60" w:after="60"/>
            </w:pPr>
            <w:r>
              <w:rPr>
                <w:rFonts w:ascii="Calibri" w:hAnsi="Calibri"/>
                <w:b/>
                <w:sz w:val="19"/>
              </w:rPr>
              <w:t>Nature of Grievance</w:t>
            </w:r>
          </w:p>
        </w:tc>
        <w:tc>
          <w:tcPr>
            <w:tcW w:type="dxa" w:w="3120"/>
          </w:tcPr>
          <w:p>
            <w:pPr>
              <w:spacing w:before="60" w:after="60"/>
            </w:pPr>
            <w:r>
              <w:rPr>
                <w:rFonts w:ascii="Calibri" w:hAnsi="Calibri"/>
                <w:sz w:val="19"/>
              </w:rPr>
              <w:t>Dropdown Selector</w:t>
            </w:r>
          </w:p>
        </w:tc>
        <w:tc>
          <w:tcPr>
            <w:tcW w:type="dxa" w:w="3120"/>
          </w:tcPr>
          <w:p>
            <w:pPr>
              <w:spacing w:before="60" w:after="60"/>
            </w:pPr>
            <w:r>
              <w:rPr>
                <w:rFonts w:ascii="Calibri" w:hAnsi="Calibri"/>
                <w:sz w:val="19"/>
              </w:rPr>
              <w:t>Categorized concern (see classification below).</w:t>
            </w:r>
          </w:p>
        </w:tc>
      </w:tr>
      <w:tr>
        <w:tc>
          <w:tcPr>
            <w:tcW w:type="dxa" w:w="3120"/>
          </w:tcPr>
          <w:p>
            <w:pPr>
              <w:spacing w:before="60" w:after="60"/>
            </w:pPr>
            <w:r>
              <w:rPr>
                <w:rFonts w:ascii="Calibri" w:hAnsi="Calibri"/>
                <w:b/>
                <w:sz w:val="19"/>
              </w:rPr>
              <w:t>Detailed Description</w:t>
            </w:r>
          </w:p>
        </w:tc>
        <w:tc>
          <w:tcPr>
            <w:tcW w:type="dxa" w:w="3120"/>
          </w:tcPr>
          <w:p>
            <w:pPr>
              <w:spacing w:before="60" w:after="60"/>
            </w:pPr>
            <w:r>
              <w:rPr>
                <w:rFonts w:ascii="Calibri" w:hAnsi="Calibri"/>
                <w:sz w:val="19"/>
              </w:rPr>
              <w:t>Multi-line Text Area</w:t>
            </w:r>
          </w:p>
        </w:tc>
        <w:tc>
          <w:tcPr>
            <w:tcW w:type="dxa" w:w="3120"/>
          </w:tcPr>
          <w:p>
            <w:pPr>
              <w:spacing w:before="60" w:after="60"/>
            </w:pPr>
            <w:r>
              <w:rPr>
                <w:rFonts w:ascii="Calibri" w:hAnsi="Calibri"/>
                <w:sz w:val="19"/>
              </w:rPr>
              <w:t>Comprehensive narrative explanation of the grievance.</w:t>
            </w:r>
          </w:p>
        </w:tc>
      </w:tr>
      <w:tr>
        <w:tc>
          <w:tcPr>
            <w:tcW w:type="dxa" w:w="3120"/>
          </w:tcPr>
          <w:p>
            <w:pPr>
              <w:spacing w:before="60" w:after="60"/>
            </w:pPr>
            <w:r>
              <w:rPr>
                <w:rFonts w:ascii="Calibri" w:hAnsi="Calibri"/>
                <w:b/>
                <w:sz w:val="19"/>
              </w:rPr>
              <w:t>Submission Action</w:t>
            </w:r>
          </w:p>
        </w:tc>
        <w:tc>
          <w:tcPr>
            <w:tcW w:type="dxa" w:w="3120"/>
          </w:tcPr>
          <w:p>
            <w:pPr>
              <w:spacing w:before="60" w:after="60"/>
            </w:pPr>
            <w:r>
              <w:rPr>
                <w:rFonts w:ascii="Calibri" w:hAnsi="Calibri"/>
                <w:sz w:val="19"/>
              </w:rPr>
              <w:t>Form Button</w:t>
            </w:r>
          </w:p>
        </w:tc>
        <w:tc>
          <w:tcPr>
            <w:tcW w:type="dxa" w:w="3120"/>
          </w:tcPr>
          <w:p>
            <w:pPr>
              <w:spacing w:before="60" w:after="60"/>
            </w:pPr>
            <w:r>
              <w:rPr>
                <w:rFonts w:ascii="Calibri" w:hAnsi="Calibri"/>
                <w:sz w:val="19"/>
              </w:rPr>
              <w:t>"Submit Grievance" initiates administrative recording.</w:t>
            </w:r>
          </w:p>
        </w:tc>
      </w:tr>
    </w:tbl>
    <w:p>
      <w:pPr>
        <w:spacing w:before="40" w:after="40"/>
      </w:pPr>
    </w:p>
    <w:p>
      <w:pPr>
        <w:pStyle w:val="Heading2"/>
        <w:spacing w:before="240" w:after="80"/>
      </w:pPr>
      <w:r>
        <w:rPr>
          <w:rFonts w:ascii="Calibri" w:hAnsi="Calibri"/>
          <w:color w:val="003366"/>
          <w:sz w:val="26"/>
        </w:rPr>
        <w:t>Official Grievance Categories</w:t>
      </w:r>
    </w:p>
    <w:tbl>
      <w:tblPr>
        <w:tblStyle w:val="TableGrid"/>
        <w:tblW w:type="auto" w:w="0"/>
        <w:jc w:val="center"/>
        <w:tblLayout w:type="autofit"/>
        <w:tblLook w:firstColumn="1" w:firstRow="1" w:lastColumn="0" w:lastRow="0" w:noHBand="0" w:noVBand="1" w:val="04A0"/>
        <w:tblBorders>
          <w:top w:val="single" w:sz="4" w:space="0" w:color="CCCCCC"/>
          <w:bottom w:val="single" w:sz="6" w:space="0" w:color="003366"/>
          <w:insideH w:val="single" w:sz="4" w:space="0" w:color="E0E0E0"/>
          <w:insideV w:val="none"/>
          <w:left w:val="none"/>
          <w:right w:val="none"/>
        </w:tblBorders>
      </w:tblPr>
      <w:tblGrid>
        <w:gridCol w:w="4680"/>
        <w:gridCol w:w="4680"/>
      </w:tblGrid>
      <w:tr>
        <w:tc>
          <w:tcPr>
            <w:tcW w:type="dxa" w:w="4680"/>
            <w:shd w:fill="EEF2F7"/>
          </w:tcPr>
          <w:p>
            <w:pPr>
              <w:spacing w:before="60" w:after="60"/>
            </w:pPr>
            <w:r>
              <w:rPr>
                <w:rFonts w:ascii="Calibri" w:hAnsi="Calibri"/>
                <w:b/>
                <w:color w:val="003366"/>
                <w:sz w:val="19"/>
              </w:rPr>
              <w:t>Category</w:t>
            </w:r>
          </w:p>
        </w:tc>
        <w:tc>
          <w:tcPr>
            <w:tcW w:type="dxa" w:w="4680"/>
            <w:shd w:fill="EEF2F7"/>
          </w:tcPr>
          <w:p>
            <w:pPr>
              <w:spacing w:before="60" w:after="60"/>
            </w:pPr>
            <w:r>
              <w:rPr>
                <w:rFonts w:ascii="Calibri" w:hAnsi="Calibri"/>
                <w:b/>
                <w:color w:val="003366"/>
                <w:sz w:val="19"/>
              </w:rPr>
              <w:t>Typical Scope &amp; Concerns Handled</w:t>
            </w:r>
          </w:p>
        </w:tc>
      </w:tr>
      <w:tr>
        <w:tc>
          <w:tcPr>
            <w:tcW w:type="dxa" w:w="4680"/>
          </w:tcPr>
          <w:p>
            <w:pPr>
              <w:spacing w:before="60" w:after="60"/>
            </w:pPr>
            <w:r>
              <w:rPr>
                <w:rFonts w:ascii="Calibri" w:hAnsi="Calibri"/>
                <w:b/>
                <w:sz w:val="19"/>
              </w:rPr>
              <w:t>Academic</w:t>
            </w:r>
          </w:p>
        </w:tc>
        <w:tc>
          <w:tcPr>
            <w:tcW w:type="dxa" w:w="4680"/>
          </w:tcPr>
          <w:p>
            <w:pPr>
              <w:spacing w:before="60" w:after="60"/>
            </w:pPr>
            <w:r>
              <w:rPr>
                <w:rFonts w:ascii="Calibri" w:hAnsi="Calibri"/>
                <w:sz w:val="19"/>
              </w:rPr>
              <w:t>Sessional examination routines, classroom instruction, laboratory equipment access, practical evaluations, attendance discrepancies.</w:t>
            </w:r>
          </w:p>
        </w:tc>
      </w:tr>
      <w:tr>
        <w:tc>
          <w:tcPr>
            <w:tcW w:type="dxa" w:w="4680"/>
          </w:tcPr>
          <w:p>
            <w:pPr>
              <w:spacing w:before="60" w:after="60"/>
            </w:pPr>
            <w:r>
              <w:rPr>
                <w:rFonts w:ascii="Calibri" w:hAnsi="Calibri"/>
                <w:b/>
                <w:sz w:val="19"/>
              </w:rPr>
              <w:t>Infrastructure</w:t>
            </w:r>
          </w:p>
        </w:tc>
        <w:tc>
          <w:tcPr>
            <w:tcW w:type="dxa" w:w="4680"/>
          </w:tcPr>
          <w:p>
            <w:pPr>
              <w:spacing w:before="60" w:after="60"/>
            </w:pPr>
            <w:r>
              <w:rPr>
                <w:rFonts w:ascii="Calibri" w:hAnsi="Calibri"/>
                <w:sz w:val="19"/>
              </w:rPr>
              <w:t>Hostel room facilities, canteen &amp; mess food hygiene, Wi-Fi connectivity, electrical / plumbing maintenance.</w:t>
            </w:r>
          </w:p>
        </w:tc>
      </w:tr>
      <w:tr>
        <w:tc>
          <w:tcPr>
            <w:tcW w:type="dxa" w:w="4680"/>
          </w:tcPr>
          <w:p>
            <w:pPr>
              <w:spacing w:before="60" w:after="60"/>
            </w:pPr>
            <w:r>
              <w:rPr>
                <w:rFonts w:ascii="Calibri" w:hAnsi="Calibri"/>
                <w:b/>
                <w:sz w:val="19"/>
              </w:rPr>
              <w:t>Administrative</w:t>
            </w:r>
          </w:p>
        </w:tc>
        <w:tc>
          <w:tcPr>
            <w:tcW w:type="dxa" w:w="4680"/>
          </w:tcPr>
          <w:p>
            <w:pPr>
              <w:spacing w:before="60" w:after="60"/>
            </w:pPr>
            <w:r>
              <w:rPr>
                <w:rFonts w:ascii="Calibri" w:hAnsi="Calibri"/>
                <w:sz w:val="19"/>
              </w:rPr>
              <w:t>Fee payment verification, receipts, scholarship document processing, mark-sheet issuance, transfer certificates.</w:t>
            </w:r>
          </w:p>
        </w:tc>
      </w:tr>
      <w:tr>
        <w:tc>
          <w:tcPr>
            <w:tcW w:type="dxa" w:w="4680"/>
          </w:tcPr>
          <w:p>
            <w:pPr>
              <w:spacing w:before="60" w:after="60"/>
            </w:pPr>
            <w:r>
              <w:rPr>
                <w:rFonts w:ascii="Calibri" w:hAnsi="Calibri"/>
                <w:b/>
                <w:sz w:val="19"/>
              </w:rPr>
              <w:t>Harassment / Bullying</w:t>
            </w:r>
          </w:p>
        </w:tc>
        <w:tc>
          <w:tcPr>
            <w:tcW w:type="dxa" w:w="4680"/>
          </w:tcPr>
          <w:p>
            <w:pPr>
              <w:spacing w:before="60" w:after="60"/>
            </w:pPr>
            <w:r>
              <w:rPr>
                <w:rFonts w:ascii="Calibri" w:hAnsi="Calibri"/>
                <w:sz w:val="19"/>
              </w:rPr>
              <w:t>Interpersonal peer issues, disrespectful behavior, unfair treatment, safety concerns.</w:t>
            </w:r>
          </w:p>
        </w:tc>
      </w:tr>
      <w:tr>
        <w:tc>
          <w:tcPr>
            <w:tcW w:type="dxa" w:w="4680"/>
          </w:tcPr>
          <w:p>
            <w:pPr>
              <w:spacing w:before="60" w:after="60"/>
            </w:pPr>
            <w:r>
              <w:rPr>
                <w:rFonts w:ascii="Calibri" w:hAnsi="Calibri"/>
                <w:b/>
                <w:sz w:val="19"/>
              </w:rPr>
              <w:t>Other</w:t>
            </w:r>
          </w:p>
        </w:tc>
        <w:tc>
          <w:tcPr>
            <w:tcW w:type="dxa" w:w="4680"/>
          </w:tcPr>
          <w:p>
            <w:pPr>
              <w:spacing w:before="60" w:after="60"/>
            </w:pPr>
            <w:r>
              <w:rPr>
                <w:rFonts w:ascii="Calibri" w:hAnsi="Calibri"/>
                <w:sz w:val="19"/>
              </w:rPr>
              <w:t>Transit bus logistics, library loan issues, general campus inquiries.</w:t>
            </w:r>
          </w:p>
        </w:tc>
      </w:tr>
    </w:tbl>
    <w:p>
      <w:pPr>
        <w:spacing w:before="40" w:after="40"/>
      </w:pPr>
    </w:p>
    <w:p>
      <w:pPr>
        <w:pStyle w:val="Heading2"/>
        <w:spacing w:before="240" w:after="80"/>
      </w:pPr>
      <w:r>
        <w:rPr>
          <w:rFonts w:ascii="Calibri" w:hAnsi="Calibri"/>
          <w:color w:val="003366"/>
          <w:sz w:val="26"/>
        </w:rPr>
        <w:t>Escalation and Disciplinary Contacts</w:t>
      </w:r>
    </w:p>
    <w:p>
      <w:pPr>
        <w:spacing w:before="40" w:after="80" w:line="276" w:lineRule="auto"/>
      </w:pPr>
      <w:r>
        <w:rPr>
          <w:rFonts w:ascii="Calibri" w:hAnsi="Calibri"/>
          <w:sz w:val="20"/>
        </w:rPr>
        <w:t>Students requiring urgent consultation or physical verification may reach:</w:t>
      </w:r>
    </w:p>
    <w:p>
      <w:pPr>
        <w:pStyle w:val="ListBullet"/>
        <w:spacing w:before="20" w:after="40"/>
      </w:pPr>
      <w:r>
        <w:rPr>
          <w:rFonts w:ascii="Calibri" w:hAnsi="Calibri"/>
          <w:b/>
          <w:sz w:val="20"/>
        </w:rPr>
        <w:t>Chief Proctor (Discipline &amp; Safety):</w:t>
      </w:r>
      <w:r>
        <w:rPr>
          <w:rFonts w:ascii="Calibri" w:hAnsi="Calibri"/>
          <w:sz w:val="20"/>
        </w:rPr>
        <w:t xml:space="preserve"> Dr. Shashank Singh (+91 8417000011)</w:t>
      </w:r>
    </w:p>
    <w:p>
      <w:pPr>
        <w:pStyle w:val="ListBullet"/>
        <w:spacing w:before="20" w:after="40"/>
      </w:pPr>
      <w:r>
        <w:rPr>
          <w:rFonts w:ascii="Calibri" w:hAnsi="Calibri"/>
          <w:b/>
          <w:sz w:val="20"/>
        </w:rPr>
        <w:t>Registrar (Academic &amp; Administrative Records):</w:t>
      </w:r>
      <w:r>
        <w:rPr>
          <w:rFonts w:ascii="Calibri" w:hAnsi="Calibri"/>
          <w:sz w:val="20"/>
        </w:rPr>
        <w:t xml:space="preserve"> Mr. Devendra Srivastava (+91 8417000010)</w:t>
      </w:r>
    </w:p>
    <w:p>
      <w:pPr>
        <w:pStyle w:val="ListBullet"/>
        <w:spacing w:before="20" w:after="40"/>
      </w:pPr>
      <w:r>
        <w:rPr>
          <w:rFonts w:ascii="Calibri" w:hAnsi="Calibri"/>
          <w:b/>
          <w:sz w:val="20"/>
        </w:rPr>
        <w:t>Main Administrative Office:</w:t>
      </w:r>
      <w:r>
        <w:rPr>
          <w:rFonts w:ascii="Calibri" w:hAnsi="Calibri"/>
          <w:sz w:val="20"/>
        </w:rPr>
        <w:t xml:space="preserve"> Main Administrative Block, Sitapur Road Campus, Lucknow.</w:t>
      </w:r>
    </w:p>
    <w:p>
      <w:pPr>
        <w:pStyle w:val="Heading2"/>
        <w:spacing w:before="240" w:after="80"/>
      </w:pPr>
      <w:r>
        <w:rPr>
          <w:rFonts w:ascii="Calibri" w:hAnsi="Calibri"/>
          <w:color w:val="003366"/>
          <w:sz w:val="26"/>
        </w:rPr>
        <w:t>Related Information</w:t>
      </w:r>
    </w:p>
    <w:p>
      <w:pPr>
        <w:pStyle w:val="ListBullet"/>
        <w:spacing w:before="20" w:after="40"/>
      </w:pPr>
      <w:r>
        <w:rPr>
          <w:rFonts w:ascii="Calibri" w:hAnsi="Calibri"/>
          <w:sz w:val="20"/>
        </w:rPr>
        <w:t xml:space="preserve">Anti-Ragging Regulations: </w:t>
      </w:r>
      <w:r>
        <w:rPr>
          <w:rFonts w:ascii="Consolas" w:hAnsi="Consolas"/>
          <w:color w:val="333333"/>
          <w:sz w:val="19"/>
        </w:rPr>
        <w:t>srgi_lucknow_anti_ragging_regulations</w:t>
      </w:r>
    </w:p>
    <w:p>
      <w:pPr>
        <w:pStyle w:val="ListBullet"/>
        <w:spacing w:before="20" w:after="40"/>
      </w:pPr>
      <w:r>
        <w:rPr>
          <w:rFonts w:ascii="Calibri" w:hAnsi="Calibri"/>
          <w:sz w:val="20"/>
        </w:rPr>
        <w:t xml:space="preserve">Administrative Heads: </w:t>
      </w:r>
      <w:r>
        <w:rPr>
          <w:rFonts w:ascii="Consolas" w:hAnsi="Consolas"/>
          <w:color w:val="333333"/>
          <w:sz w:val="19"/>
        </w:rPr>
        <w:t>srgi_lucknow_administrative_heads</w:t>
      </w:r>
    </w:p>
    <w:p>
      <w:pPr>
        <w:pStyle w:val="ListBullet"/>
        <w:spacing w:before="20" w:after="40"/>
      </w:pPr>
      <w:r>
        <w:rPr>
          <w:rFonts w:ascii="Calibri" w:hAnsi="Calibri"/>
          <w:sz w:val="20"/>
        </w:rPr>
        <w:t xml:space="preserve">Campus Contacts: </w:t>
      </w:r>
      <w:r>
        <w:rPr>
          <w:rFonts w:ascii="Consolas" w:hAnsi="Consolas"/>
          <w:color w:val="333333"/>
          <w:sz w:val="19"/>
        </w:rPr>
        <w:t>srgi_lucknow_campus_contacts_and_directions</w:t>
      </w:r>
    </w:p>
    <w:p>
      <w:pPr>
        <w:pStyle w:val="Heading2"/>
        <w:spacing w:before="240" w:after="80"/>
      </w:pPr>
      <w:r>
        <w:rPr>
          <w:rFonts w:ascii="Calibri" w:hAnsi="Calibri"/>
          <w:color w:val="003366"/>
          <w:sz w:val="26"/>
        </w:rPr>
        <w:t>Official Sources and Provenance</w:t>
      </w:r>
    </w:p>
    <w:p>
      <w:pPr>
        <w:pStyle w:val="ListBullet"/>
        <w:spacing w:before="20" w:after="40"/>
      </w:pPr>
      <w:r>
        <w:rPr>
          <w:rFonts w:ascii="Calibri" w:hAnsi="Calibri"/>
          <w:b/>
          <w:sz w:val="20"/>
        </w:rPr>
        <w:t>Institution:</w:t>
      </w:r>
      <w:r>
        <w:rPr>
          <w:rFonts w:ascii="Calibri" w:hAnsi="Calibri"/>
          <w:sz w:val="20"/>
        </w:rPr>
        <w:t xml:space="preserve"> S. R. Group of Institutions (SRGI), Lucknow (</w:t>
      </w:r>
      <w:r>
        <w:rPr>
          <w:rFonts w:ascii="Consolas" w:hAnsi="Consolas"/>
          <w:color w:val="333333"/>
          <w:sz w:val="19"/>
        </w:rPr>
        <w:t>srgi_lucknow</w:t>
      </w:r>
      <w:r>
        <w:rPr>
          <w:rFonts w:ascii="Calibri" w:hAnsi="Calibri"/>
          <w:sz w:val="20"/>
        </w:rPr>
        <w:t>)</w:t>
      </w:r>
    </w:p>
    <w:p>
      <w:pPr>
        <w:pStyle w:val="ListBullet"/>
        <w:spacing w:before="20" w:after="40"/>
      </w:pPr>
      <w:r>
        <w:rPr>
          <w:rFonts w:ascii="Calibri" w:hAnsi="Calibri"/>
          <w:b/>
          <w:sz w:val="20"/>
        </w:rPr>
        <w:t>Canonical Website:</w:t>
      </w:r>
      <w:r>
        <w:rPr>
          <w:rFonts w:ascii="Calibri" w:hAnsi="Calibri"/>
          <w:sz w:val="20"/>
        </w:rPr>
        <w:t xml:space="preserve"> </w:t>
      </w:r>
      <w:hyperlink r:id="rId10">
        <w:r>
          <w:rPr>
            <w:color w:val="004B87"/>
            <w:u w:val="single"/>
          </w:rPr>
          <w:t xml:space="preserve">https://srgi.in</w:t>
        </w:r>
      </w:hyperlink>
    </w:p>
    <w:p>
      <w:pPr>
        <w:pStyle w:val="ListBullet"/>
        <w:spacing w:before="20" w:after="40"/>
      </w:pPr>
      <w:r>
        <w:rPr>
          <w:rFonts w:ascii="Calibri" w:hAnsi="Calibri"/>
          <w:b/>
          <w:sz w:val="20"/>
        </w:rPr>
        <w:t>Source Reference URLs:</w:t>
      </w:r>
    </w:p>
    <w:p>
      <w:pPr>
        <w:pStyle w:val="ListBullet"/>
        <w:spacing w:before="20" w:after="40"/>
        <w:ind w:left="720"/>
      </w:pPr>
      <w:hyperlink r:id="rId9">
        <w:r>
          <w:rPr>
            <w:color w:val="004B87"/>
            <w:u w:val="single"/>
          </w:rPr>
          <w:t xml:space="preserve">https://srgi.in/student-grievances</w:t>
        </w:r>
      </w:hyperlink>
    </w:p>
    <w:p>
      <w:pPr>
        <w:pStyle w:val="ListBullet"/>
        <w:spacing w:before="20" w:after="40"/>
      </w:pPr>
      <w:r>
        <w:rPr>
          <w:rFonts w:ascii="Calibri" w:hAnsi="Calibri"/>
          <w:b/>
          <w:sz w:val="20"/>
        </w:rPr>
        <w:t>Governing Trust:</w:t>
      </w:r>
      <w:r>
        <w:rPr>
          <w:rFonts w:ascii="Calibri" w:hAnsi="Calibri"/>
          <w:sz w:val="20"/>
        </w:rPr>
        <w:t xml:space="preserve"> Subedar Raj Devi Educational Trust (Estd. 2008)</w:t>
      </w:r>
    </w:p>
    <w:p>
      <w:pPr>
        <w:pStyle w:val="ListBullet"/>
        <w:spacing w:before="20" w:after="40"/>
      </w:pPr>
      <w:r>
        <w:rPr>
          <w:rFonts w:ascii="Calibri" w:hAnsi="Calibri"/>
          <w:b/>
          <w:sz w:val="20"/>
        </w:rPr>
        <w:t>Verification Status:</w:t>
      </w:r>
      <w:r>
        <w:rPr>
          <w:rFonts w:ascii="Calibri" w:hAnsi="Calibri"/>
          <w:sz w:val="20"/>
        </w:rPr>
        <w:t xml:space="preserve"> Production Reviewed &amp; Evidence Grounded (2026 Academic Session)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rgi.in/student-grievances" TargetMode="External"/><Relationship Id="rId10" Type="http://schemas.openxmlformats.org/officeDocument/2006/relationships/hyperlink" Target="https://srgi.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