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IIT Jodhpur RAG Knowledge Base</w:t>
      </w:r>
    </w:p>
    <w:p>
      <w:r>
        <w:rPr>
          <w:b/>
        </w:rPr>
        <w:t>DOCUMENT 2</w:t>
        <w:br/>
      </w:r>
      <w:r>
        <w:t>Academics • Academic Structure • Programmes • Schools • Academic Regulations</w:t>
        <w:br/>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Purpose</w:t>
            </w:r>
          </w:p>
        </w:tc>
        <w:tc>
          <w:tcPr>
            <w:tcW w:type="dxa" w:w="4320"/>
          </w:tcPr>
          <w:p>
            <w:r>
              <w:t>Production-ready RAG knowledge base</w:t>
            </w:r>
          </w:p>
        </w:tc>
      </w:tr>
      <w:tr>
        <w:tc>
          <w:tcPr>
            <w:tcW w:type="dxa" w:w="4320"/>
          </w:tcPr>
          <w:p>
            <w:r>
              <w:t>Primary Source</w:t>
            </w:r>
          </w:p>
        </w:tc>
        <w:tc>
          <w:tcPr>
            <w:tcW w:type="dxa" w:w="4320"/>
          </w:tcPr>
          <w:p>
            <w:r>
              <w:t>Official IIT Jodhpur website with expanded explanations</w:t>
            </w:r>
          </w:p>
        </w:tc>
      </w:tr>
      <w:tr>
        <w:tc>
          <w:tcPr>
            <w:tcW w:type="dxa" w:w="4320"/>
          </w:tcPr>
          <w:p>
            <w:r>
              <w:t>Audience</w:t>
            </w:r>
          </w:p>
        </w:tc>
        <w:tc>
          <w:tcPr>
            <w:tcW w:type="dxa" w:w="4320"/>
          </w:tcPr>
          <w:p>
            <w:r>
              <w:t>Students, parents, faculty, applicants</w:t>
            </w:r>
          </w:p>
        </w:tc>
      </w:tr>
      <w:tr>
        <w:tc>
          <w:tcPr>
            <w:tcW w:type="dxa" w:w="4320"/>
          </w:tcPr>
          <w:p>
            <w:r>
              <w:t>Domain</w:t>
            </w:r>
          </w:p>
        </w:tc>
        <w:tc>
          <w:tcPr>
            <w:tcW w:type="dxa" w:w="4320"/>
          </w:tcPr>
          <w:p>
            <w:r>
              <w:t>Academics</w:t>
            </w:r>
          </w:p>
        </w:tc>
      </w:tr>
    </w:tbl>
    <w:p>
      <w:pPr>
        <w:pStyle w:val="Heading1"/>
      </w:pPr>
      <w:r>
        <w:t>1. Academic Philosophy</w:t>
      </w:r>
    </w:p>
    <w:p>
      <w:r>
        <w:t>IIT Jodhpur follows an outcome-based academic system that combines strong theoretical foundations with laboratory work, design thinking, interdisciplinary learning, research exposure and innovation. Students are encouraged to solve real engineering and societal problems instead of focusing only on examinations.</w:t>
      </w:r>
    </w:p>
    <w:p>
      <w:pPr>
        <w:pStyle w:val="ListBullet"/>
      </w:pPr>
      <w:r>
        <w:t>Research-integrated curriculum</w:t>
      </w:r>
    </w:p>
    <w:p>
      <w:pPr>
        <w:pStyle w:val="ListBullet"/>
      </w:pPr>
      <w:r>
        <w:t>Industry interaction</w:t>
      </w:r>
    </w:p>
    <w:p>
      <w:pPr>
        <w:pStyle w:val="ListBullet"/>
      </w:pPr>
      <w:r>
        <w:t>Project-based learning</w:t>
      </w:r>
    </w:p>
    <w:p>
      <w:pPr>
        <w:pStyle w:val="ListBullet"/>
      </w:pPr>
      <w:r>
        <w:t>Innovation and entrepreneurship</w:t>
      </w:r>
    </w:p>
    <w:p>
      <w:pPr>
        <w:pStyle w:val="ListBullet"/>
      </w:pPr>
      <w:r>
        <w:t>Multidisciplinary education</w:t>
      </w:r>
    </w:p>
    <w:p>
      <w:pPr>
        <w:pStyle w:val="ListBullet"/>
      </w:pPr>
      <w:r>
        <w:t>Continuous evaluation</w:t>
      </w:r>
    </w:p>
    <w:p>
      <w:pPr>
        <w:pStyle w:val="Heading1"/>
      </w:pPr>
      <w:r>
        <w:t>2. Academic Structure</w:t>
      </w:r>
    </w:p>
    <w:p>
      <w:r>
        <w:t>The institute offers undergraduate, postgraduate and doctoral programmes through departments and interdisciplinary schools. Students normally study foundation courses before progressing into specialized subjects.</w:t>
      </w:r>
    </w:p>
    <w:tbl>
      <w:tblPr>
        <w:tblStyle w:val="TableGrid"/>
        <w:tblW w:type="auto" w:w="0"/>
        <w:tblLook w:firstColumn="1" w:firstRow="1" w:lastColumn="0" w:lastRow="0" w:noHBand="0" w:noVBand="1" w:val="04A0"/>
      </w:tblPr>
      <w:tblGrid>
        <w:gridCol w:w="4320"/>
        <w:gridCol w:w="4320"/>
      </w:tblGrid>
      <w:tr>
        <w:tc>
          <w:tcPr>
            <w:tcW w:type="dxa" w:w="4320"/>
          </w:tcPr>
          <w:p>
            <w:r>
              <w:t>Level</w:t>
            </w:r>
          </w:p>
        </w:tc>
        <w:tc>
          <w:tcPr>
            <w:tcW w:type="dxa" w:w="4320"/>
          </w:tcPr>
          <w:p>
            <w:r>
              <w:t>Examples</w:t>
            </w:r>
          </w:p>
        </w:tc>
      </w:tr>
      <w:tr>
        <w:tc>
          <w:tcPr>
            <w:tcW w:type="dxa" w:w="4320"/>
          </w:tcPr>
          <w:p>
            <w:r>
              <w:t>Undergraduate</w:t>
            </w:r>
          </w:p>
        </w:tc>
        <w:tc>
          <w:tcPr>
            <w:tcW w:type="dxa" w:w="4320"/>
          </w:tcPr>
          <w:p>
            <w:r>
              <w:t>B.Tech</w:t>
            </w:r>
          </w:p>
        </w:tc>
      </w:tr>
      <w:tr>
        <w:tc>
          <w:tcPr>
            <w:tcW w:type="dxa" w:w="4320"/>
          </w:tcPr>
          <w:p>
            <w:r>
              <w:t>Postgraduate</w:t>
            </w:r>
          </w:p>
        </w:tc>
        <w:tc>
          <w:tcPr>
            <w:tcW w:type="dxa" w:w="4320"/>
          </w:tcPr>
          <w:p>
            <w:r>
              <w:t>M.Tech, M.Sc., MBA (where offered), Executive programmes</w:t>
            </w:r>
          </w:p>
        </w:tc>
      </w:tr>
      <w:tr>
        <w:tc>
          <w:tcPr>
            <w:tcW w:type="dxa" w:w="4320"/>
          </w:tcPr>
          <w:p>
            <w:r>
              <w:t>Research</w:t>
            </w:r>
          </w:p>
        </w:tc>
        <w:tc>
          <w:tcPr>
            <w:tcW w:type="dxa" w:w="4320"/>
          </w:tcPr>
          <w:p>
            <w:r>
              <w:t>Ph.D., Dual Degree programmes</w:t>
            </w:r>
          </w:p>
        </w:tc>
      </w:tr>
    </w:tbl>
    <w:p>
      <w:pPr>
        <w:pStyle w:val="Heading1"/>
      </w:pPr>
      <w:r>
        <w:t>3. Undergraduate Programmes</w:t>
      </w:r>
    </w:p>
    <w:p>
      <w:pPr>
        <w:pStyle w:val="ListBullet"/>
      </w:pPr>
      <w:r>
        <w:t>B.Tech in Computer Science and Engineering</w:t>
      </w:r>
    </w:p>
    <w:p>
      <w:pPr>
        <w:pStyle w:val="ListBullet"/>
      </w:pPr>
      <w:r>
        <w:t>B.Tech in Electrical Engineering</w:t>
      </w:r>
    </w:p>
    <w:p>
      <w:pPr>
        <w:pStyle w:val="ListBullet"/>
      </w:pPr>
      <w:r>
        <w:t>B.Tech in Mechanical Engineering</w:t>
      </w:r>
    </w:p>
    <w:p>
      <w:pPr>
        <w:pStyle w:val="ListBullet"/>
      </w:pPr>
      <w:r>
        <w:t>B.Tech in Chemical Engineering</w:t>
      </w:r>
    </w:p>
    <w:p>
      <w:pPr>
        <w:pStyle w:val="ListBullet"/>
      </w:pPr>
      <w:r>
        <w:t>B.Tech in Civil and Infrastructure Engineering</w:t>
      </w:r>
    </w:p>
    <w:p>
      <w:pPr>
        <w:pStyle w:val="ListBullet"/>
      </w:pPr>
      <w:r>
        <w:t>B.Tech in Materials Engineering</w:t>
      </w:r>
    </w:p>
    <w:p>
      <w:pPr>
        <w:pStyle w:val="ListBullet"/>
      </w:pPr>
      <w:r>
        <w:t>B.Tech in Bioscience and Bioengineering</w:t>
      </w:r>
    </w:p>
    <w:p>
      <w:pPr>
        <w:pStyle w:val="ListBullet"/>
      </w:pPr>
      <w:r>
        <w:t>B.Tech in Artificial Intelligence and Data Science</w:t>
      </w:r>
    </w:p>
    <w:p>
      <w:r>
        <w:t>Every programme combines core courses, electives, laboratory sessions, design projects and opportunities for internships and undergraduate research.</w:t>
      </w:r>
    </w:p>
    <w:p>
      <w:pPr>
        <w:pStyle w:val="Heading1"/>
      </w:pPr>
      <w:r>
        <w:t>4. Schools</w:t>
      </w:r>
    </w:p>
    <w:p>
      <w:pPr>
        <w:pStyle w:val="ListBullet"/>
      </w:pPr>
      <w:r>
        <w:t>School of Artificial Intelligence and Data Science</w:t>
      </w:r>
    </w:p>
    <w:p>
      <w:pPr>
        <w:pStyle w:val="ListBullet"/>
      </w:pPr>
      <w:r>
        <w:t>School of Management and Entrepreneurship</w:t>
      </w:r>
    </w:p>
    <w:p>
      <w:pPr>
        <w:pStyle w:val="ListBullet"/>
      </w:pPr>
      <w:r>
        <w:t>School of Design</w:t>
      </w:r>
    </w:p>
    <w:p>
      <w:pPr>
        <w:pStyle w:val="ListBullet"/>
      </w:pPr>
      <w:r>
        <w:t>School of Liberal Arts</w:t>
      </w:r>
    </w:p>
    <w:p>
      <w:r>
        <w:t>These schools promote interdisciplinary education by allowing students from engineering backgrounds to study management, AI, design, entrepreneurship, humanities and social sciences.</w:t>
      </w:r>
    </w:p>
    <w:p>
      <w:pPr>
        <w:pStyle w:val="Heading1"/>
      </w:pPr>
      <w:r>
        <w:t>5. Credit System</w:t>
      </w:r>
    </w:p>
    <w:p>
      <w:r>
        <w:t>Students earn academic credits by successfully completing courses. Credits generally represent classroom instruction, laboratory work and self-learning effort. Graduation requires completion of the prescribed credit requirements.</w:t>
      </w:r>
    </w:p>
    <w:p>
      <w:pPr>
        <w:pStyle w:val="ListBullet"/>
      </w:pPr>
      <w:r>
        <w:t>Core courses</w:t>
      </w:r>
    </w:p>
    <w:p>
      <w:pPr>
        <w:pStyle w:val="ListBullet"/>
      </w:pPr>
      <w:r>
        <w:t>Department electives</w:t>
      </w:r>
    </w:p>
    <w:p>
      <w:pPr>
        <w:pStyle w:val="ListBullet"/>
      </w:pPr>
      <w:r>
        <w:t>Open electives</w:t>
      </w:r>
    </w:p>
    <w:p>
      <w:pPr>
        <w:pStyle w:val="ListBullet"/>
      </w:pPr>
      <w:r>
        <w:t>Laboratory courses</w:t>
      </w:r>
    </w:p>
    <w:p>
      <w:pPr>
        <w:pStyle w:val="ListBullet"/>
      </w:pPr>
      <w:r>
        <w:t>Projects</w:t>
      </w:r>
    </w:p>
    <w:p>
      <w:pPr>
        <w:pStyle w:val="ListBullet"/>
      </w:pPr>
      <w:r>
        <w:t>Internships (where applicable)</w:t>
      </w:r>
    </w:p>
    <w:p>
      <w:pPr>
        <w:pStyle w:val="Heading1"/>
      </w:pPr>
      <w:r>
        <w:t>6. CGPA and SGPA</w:t>
      </w:r>
    </w:p>
    <w:p>
      <w:r>
        <w:t>Semester Grade Point Average (SGPA) measures performance in one semester, while Cumulative Grade Point Average (CGPA) represents performance across all completed semesters.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SGPA</w:t>
            </w:r>
          </w:p>
        </w:tc>
        <w:tc>
          <w:tcPr>
            <w:tcW w:type="dxa" w:w="4320"/>
          </w:tcPr>
          <w:p>
            <w:r>
              <w:t>Performance in one semester</w:t>
            </w:r>
          </w:p>
        </w:tc>
      </w:tr>
      <w:tr>
        <w:tc>
          <w:tcPr>
            <w:tcW w:type="dxa" w:w="4320"/>
          </w:tcPr>
          <w:p>
            <w:r>
              <w:t>CGPA</w:t>
            </w:r>
          </w:p>
        </w:tc>
        <w:tc>
          <w:tcPr>
            <w:tcW w:type="dxa" w:w="4320"/>
          </w:tcPr>
          <w:p>
            <w:r>
              <w:t>Overall academic performance</w:t>
            </w:r>
          </w:p>
        </w:tc>
      </w:tr>
    </w:tbl>
    <w:p>
      <w:pPr>
        <w:pStyle w:val="Heading1"/>
      </w:pPr>
      <w:r>
        <w:t>7. Registration Process</w:t>
      </w:r>
    </w:p>
    <w:p>
      <w:pPr>
        <w:pStyle w:val="ListNumber"/>
      </w:pPr>
      <w:r>
        <w:t>Institute reporting</w:t>
      </w:r>
    </w:p>
    <w:p>
      <w:pPr>
        <w:pStyle w:val="ListNumber"/>
      </w:pPr>
      <w:r>
        <w:t>Identity verification</w:t>
      </w:r>
    </w:p>
    <w:p>
      <w:pPr>
        <w:pStyle w:val="ListNumber"/>
      </w:pPr>
      <w:r>
        <w:t>Fee confirmation</w:t>
      </w:r>
    </w:p>
    <w:p>
      <w:pPr>
        <w:pStyle w:val="ListNumber"/>
      </w:pPr>
      <w:r>
        <w:t>Academic registration</w:t>
      </w:r>
    </w:p>
    <w:p>
      <w:pPr>
        <w:pStyle w:val="ListNumber"/>
      </w:pPr>
      <w:r>
        <w:t>Course registration</w:t>
      </w:r>
    </w:p>
    <w:p>
      <w:pPr>
        <w:pStyle w:val="ListNumber"/>
      </w:pPr>
      <w:r>
        <w:t>Hostel confirmation</w:t>
      </w:r>
    </w:p>
    <w:p>
      <w:pPr>
        <w:pStyle w:val="ListNumber"/>
      </w:pPr>
      <w:r>
        <w:t>Orientation</w:t>
      </w:r>
    </w:p>
    <w:p>
      <w:pPr>
        <w:pStyle w:val="ListNumber"/>
      </w:pPr>
      <w:r>
        <w:t>Classes begin</w:t>
      </w:r>
    </w:p>
    <w:p>
      <w:pPr>
        <w:pStyle w:val="Heading1"/>
      </w:pPr>
      <w:r>
        <w:t>8. Faculty Advisor</w:t>
      </w:r>
    </w:p>
    <w:p>
      <w:r>
        <w:t>Every student is typically guided by a faculty advisor who helps with academic planning, electives, registration issues and overall academic progress.</w:t>
      </w:r>
    </w:p>
    <w:p>
      <w:pPr>
        <w:pStyle w:val="Heading1"/>
      </w:pPr>
      <w:r>
        <w:t>9. Student Scenario</w:t>
      </w:r>
    </w:p>
    <w:p>
      <w:r>
        <w:t>Example: A second-year Electrical Engineering student wants to pursue AI electives. The student discusses eligibility with the faculty advisor, checks prerequisite courses, registers during the course registration window and balances credits to avoid overload.</w:t>
      </w:r>
    </w:p>
    <w:p>
      <w:pPr>
        <w:pStyle w:val="Heading1"/>
      </w:pPr>
      <w:r>
        <w:t>10. Frequently Asked Questions</w:t>
      </w:r>
    </w:p>
    <w:p>
      <w:r>
        <w:rPr>
          <w:b/>
        </w:rPr>
        <w:t>Q. What is SGPA?</w:t>
      </w:r>
    </w:p>
    <w:p>
      <w:r>
        <w:t>A. It reflects performance in a single semester.</w:t>
      </w:r>
    </w:p>
    <w:p>
      <w:r>
        <w:rPr>
          <w:b/>
        </w:rPr>
        <w:t>Q. What is CGPA?</w:t>
      </w:r>
    </w:p>
    <w:p>
      <w:r>
        <w:t>A. It is the cumulative academic performance across semesters.</w:t>
      </w:r>
    </w:p>
    <w:p>
      <w:r>
        <w:rPr>
          <w:b/>
        </w:rPr>
        <w:t>Q. Can students choose electives?</w:t>
      </w:r>
    </w:p>
    <w:p>
      <w:r>
        <w:t>A. Yes, subject to curriculum structure and eligibility.</w:t>
      </w:r>
    </w:p>
    <w:p>
      <w:r>
        <w:rPr>
          <w:b/>
        </w:rPr>
        <w:t>Q. Who helps in academic planning?</w:t>
      </w:r>
    </w:p>
    <w:p>
      <w:r>
        <w:t>A. Faculty advisors and academic offices.</w:t>
      </w:r>
    </w:p>
    <w:p>
      <w:r>
        <w:rPr>
          <w:b/>
        </w:rPr>
        <w:t>Q. Are projects important?</w:t>
      </w:r>
    </w:p>
    <w:p>
      <w:r>
        <w:t>A. Yes. Projects help students apply classroom learning to practical problems.</w:t>
      </w:r>
    </w:p>
    <w:p>
      <w:r>
        <w:rPr>
          <w:b/>
        </w:rPr>
        <w:t>Q. Can students participate in research?</w:t>
      </w:r>
    </w:p>
    <w:p>
      <w:r>
        <w:t>A. Students are encouraged to work with faculty members on research and innovation projects.</w:t>
      </w:r>
    </w:p>
    <w:p>
      <w:r>
        <w:rPr>
          <w:b/>
        </w:rPr>
        <w:t>Q. How do I register for courses?</w:t>
      </w:r>
    </w:p>
    <w:p>
      <w:r>
        <w:t>A. Course registration is completed during the institute's notified registration period.</w:t>
      </w:r>
    </w:p>
    <w:p>
      <w:r>
        <w:rPr>
          <w:b/>
        </w:rPr>
        <w:t>Q. What happens if I miss registration?</w:t>
      </w:r>
    </w:p>
    <w:p>
      <w:r>
        <w:t>A. Students should immediately contact the academic office because late registration may be governed by institute rules.</w:t>
      </w:r>
    </w:p>
    <w:p>
      <w:pPr>
        <w:pStyle w:val="Heading1"/>
      </w:pPr>
      <w:r>
        <w:t>Intent Coverage</w:t>
      </w:r>
    </w:p>
    <w:p>
      <w:pPr>
        <w:pStyle w:val="ListBullet"/>
      </w:pPr>
      <w:r>
        <w:t>Academic programmes</w:t>
      </w:r>
    </w:p>
    <w:p>
      <w:pPr>
        <w:pStyle w:val="ListBullet"/>
      </w:pPr>
      <w:r>
        <w:t>Course registration</w:t>
      </w:r>
    </w:p>
    <w:p>
      <w:pPr>
        <w:pStyle w:val="ListBullet"/>
      </w:pPr>
      <w:r>
        <w:t>Credits</w:t>
      </w:r>
    </w:p>
    <w:p>
      <w:pPr>
        <w:pStyle w:val="ListBullet"/>
      </w:pPr>
      <w:r>
        <w:t>CGPA</w:t>
      </w:r>
    </w:p>
    <w:p>
      <w:pPr>
        <w:pStyle w:val="ListBullet"/>
      </w:pPr>
      <w:r>
        <w:t>SGPA</w:t>
      </w:r>
    </w:p>
    <w:p>
      <w:pPr>
        <w:pStyle w:val="ListBullet"/>
      </w:pPr>
      <w:r>
        <w:t>Faculty advisor</w:t>
      </w:r>
    </w:p>
    <w:p>
      <w:pPr>
        <w:pStyle w:val="ListBullet"/>
      </w:pPr>
      <w:r>
        <w:t>Schools</w:t>
      </w:r>
    </w:p>
    <w:p>
      <w:pPr>
        <w:pStyle w:val="ListBullet"/>
      </w:pPr>
      <w:r>
        <w:t>Academic structure</w:t>
      </w:r>
    </w:p>
    <w:p>
      <w:pPr>
        <w:pStyle w:val="ListBullet"/>
      </w:pPr>
      <w:r>
        <w:t>Undergraduate education</w:t>
      </w:r>
    </w:p>
    <w:p>
      <w:pPr>
        <w:pStyle w:val="Heading1"/>
      </w:pPr>
      <w:r>
        <w:t>Search Keywords</w:t>
      </w:r>
    </w:p>
    <w:p>
      <w:r>
        <w:t>academics, BTech, MTech, PhD, credits, SGPA, CGPA, course registration, faculty advisor, AI school, management school, IIT Jodhpur academics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