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Other</w:t>
      </w:r>
    </w:p>
    <w:p>
      <w:r>
        <w:rPr>
          <w:b/>
        </w:rPr>
        <w:t xml:space="preserve">Domain: </w:t>
      </w:r>
      <w:r>
        <w:t>home.iitd.ac.in</w:t>
      </w:r>
    </w:p>
    <w:p>
      <w:r>
        <w:rPr>
          <w:b/>
        </w:rPr>
        <w:t xml:space="preserve">Category: </w:t>
      </w:r>
      <w:r>
        <w:t>other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Page 1</w:t>
      </w:r>
    </w:p>
    <w:p>
      <w:r>
        <w:t>[No extractable text]</w:t>
      </w:r>
    </w:p>
    <w:p>
      <w:r>
        <w:t>&lt;!-- Source lines: 1-4 | Decision: KEEP --&gt;</w:t>
      </w:r>
    </w:p>
    <w:p>
      <w:r>
        <w:rPr>
          <w:i/>
          <w:sz w:val="18"/>
        </w:rPr>
        <w:t>Source: newsletter-apr-26-issue.md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