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Other</w:t>
      </w:r>
    </w:p>
    <w:p>
      <w:r>
        <w:rPr>
          <w:b/>
        </w:rPr>
        <w:t xml:space="preserve">Domain: </w:t>
      </w:r>
      <w:r>
        <w:t>iitj.ac.in</w:t>
      </w:r>
    </w:p>
    <w:p>
      <w:r>
        <w:rPr>
          <w:b/>
        </w:rPr>
        <w:t xml:space="preserve">Category: </w:t>
      </w:r>
      <w:r>
        <w:t>other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Institute Lecture</w:t>
      </w:r>
    </w:p>
    <w:p>
      <w:r>
        <w:t>Dr. Dinesh Kumar Aswal</w:t>
      </w:r>
    </w:p>
    <w:p>
      <w:r>
        <w:t>Member, NDMA, New Delhi</w:t>
      </w:r>
    </w:p>
    <w:p>
      <w:r>
        <w:t>&lt;!-- Source lines: 76-80 | Decision: KEEP --&gt;</w:t>
      </w:r>
    </w:p>
    <w:p>
      <w:r>
        <w:rPr>
          <w:i/>
          <w:sz w:val="18"/>
        </w:rPr>
        <w:t>Source: office_of_research_development.md</w:t>
      </w:r>
    </w:p>
    <w:p/>
    <w:p>
      <w:pPr>
        <w:pStyle w:val="Heading2"/>
      </w:pPr>
      <w:r>
        <w:t>03 August 2026</w:t>
      </w:r>
    </w:p>
    <w:p>
      <w:r>
        <w:t>Mr. Chandrashekhar Nagaraju</w:t>
      </w:r>
    </w:p>
    <w:p>
      <w:r>
        <w:t>Founder &amp; CEO, Chiac ASI (Panchasutra Ltd), United Kingdom</w:t>
      </w:r>
    </w:p>
    <w:p>
      <w:r>
        <w:t>&lt;!-- Source lines: 86-90 | Decision: KEEP --&gt;</w:t>
      </w:r>
    </w:p>
    <w:p>
      <w:r>
        <w:rPr>
          <w:i/>
          <w:sz w:val="18"/>
        </w:rPr>
        <w:t>Source: office_of_research_development.md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