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ARAŞTIRMA PROTOKOLÜ</w:t>
        <w:br/>
        <w:t>Abdominal Acil Patolojilerin Bilgisayarlı Tomografide Hasta-Düzeyinde Otomatik Saptanması: TR_ABDOMEN_RAD_EMERGENCY Veri Seti Üzerinde 2B Baseline ile Karşılaştırmalı 3B nnDetection Yaklaşımı</w:t>
      </w:r>
    </w:p>
    <w:p/>
    <w:p>
      <w:pPr>
        <w:jc w:val="center"/>
      </w:pPr>
      <w:r>
        <w:rPr>
          <w:i/>
          <w:sz w:val="22"/>
        </w:rPr>
        <w:t>Sürüm: v1.0 · Hazırlanma tarihi: 18 Mayıs 2026</w:t>
        <w:br/>
        <w:t>Çalışma türü: Geriye dönük, gözlemsel, tanısal doğruluk</w:t>
        <w:br/>
        <w:t>Veri kaynağı: T.C. Sağlık Bakanlığı – TÜSEB / TEKNOFEST-2022 açık veri</w:t>
        <w:br/>
        <w:t>Hedef yayın: Türk hakemli radyoloji/tıp dergisi</w:t>
      </w:r>
    </w:p>
    <w:p/>
    <w:p>
      <w:pPr>
        <w:pStyle w:val="Heading1"/>
      </w:pPr>
      <w:r>
        <w:rPr>
          <w:rFonts w:ascii="Calibri" w:hAnsi="Calibri"/>
          <w:color w:val="000000"/>
        </w:rPr>
        <w:t>1. Çalışma Özeti</w:t>
      </w:r>
    </w:p>
    <w:p>
      <w:pPr>
        <w:spacing w:after="120" w:line="276" w:lineRule="auto"/>
      </w:pPr>
      <w:r>
        <w:rPr>
          <w:rFonts w:ascii="Calibri" w:hAnsi="Calibri"/>
          <w:b w:val="0"/>
          <w:i w:val="0"/>
          <w:sz w:val="22"/>
        </w:rPr>
        <w:t>Amaç: Bilgisayarlı tomografi (BT) görüntülerinde altı abdominal acil patolojiyi (akut apandisit, akut kolesistit, akut pankreatit, ürolitiyazis/nefrolitiyazis, akut divertikülit, abdominal aort anevrizması/diseksiyonu) hasta-düzeyinde, otomatik ve eş zamanlı saptayan bir 3B derin öğrenme çerçevesi geliştirmek; Türk popülasyonundan derlenmiş açık veri seti üzerinde aynı patolojilere yönelik 2B saptama yaklaşımıyla karşılaştırmalı performans değerlendirmesi yapmak.</w:t>
      </w:r>
    </w:p>
    <w:p>
      <w:pPr>
        <w:spacing w:after="120" w:line="276" w:lineRule="auto"/>
      </w:pPr>
      <w:r>
        <w:rPr>
          <w:rFonts w:ascii="Calibri" w:hAnsi="Calibri"/>
          <w:b w:val="0"/>
          <w:i w:val="0"/>
          <w:sz w:val="22"/>
        </w:rPr>
        <w:t>Yöntem: TÜSEB tarafından TEKNOFEST-2022 kapsamında paylaşılan TR_ABDOMEN_RAD_EMERGENCY veri seti kullanılacaktır. DICOM görüntüleri Hounsfield Unit (HU) tabanlı çoklu pencere normalizasyonundan geçirilerek 3B patch'lere ayrılacak ve nnDetection (3B Retina U-Net) çerçevesi ile altı sınıflı saptama modeli eğitilecektir. Karşılaştırma için YOLOv11/v12 tabanlı 2B baseline modeli aynı veri bölünmesi ile eğitilecektir. Tüm modeller 5-katlı çapraz doğrulama (5-fold CV) protokolüyle değerlendirilecek; hasta-düzeyi duyarlılık, özgüllük, AUC, FROC ve sınıf bazında ortalama hassasiyet (mAP) raporlanacaktır.</w:t>
      </w:r>
    </w:p>
    <w:p>
      <w:pPr>
        <w:spacing w:after="120" w:line="276" w:lineRule="auto"/>
      </w:pPr>
      <w:r>
        <w:rPr>
          <w:rFonts w:ascii="Calibri" w:hAnsi="Calibri"/>
          <w:b w:val="0"/>
          <w:i w:val="0"/>
          <w:sz w:val="22"/>
        </w:rPr>
        <w:t>Beklenen katkı: Bu çalışma, scoping review bulgularıyla işaretlenen üç temel literatür boşluğunu aynı anda hedeflemektedir: (i) çoklu patoloji eş zamanlı saptama, (ii) hasta-düzeyi klinik anlamlı değerlendirme, (iii) Türk açık veri seti üzerinde standartlaştırılmış 3B benchmark.</w:t>
      </w:r>
    </w:p>
    <w:p>
      <w:pPr>
        <w:pStyle w:val="Heading1"/>
      </w:pPr>
      <w:r>
        <w:rPr>
          <w:rFonts w:ascii="Calibri" w:hAnsi="Calibri"/>
          <w:color w:val="000000"/>
        </w:rPr>
        <w:t>2. Giriş ve Gerekçe</w:t>
      </w:r>
    </w:p>
    <w:p>
      <w:pPr>
        <w:pStyle w:val="Heading2"/>
      </w:pPr>
      <w:r>
        <w:rPr>
          <w:rFonts w:ascii="Calibri" w:hAnsi="Calibri"/>
          <w:color w:val="000000"/>
        </w:rPr>
        <w:t>2.1. Klinik Sorun</w:t>
      </w:r>
    </w:p>
    <w:p>
      <w:pPr>
        <w:spacing w:after="120" w:line="276" w:lineRule="auto"/>
      </w:pPr>
      <w:r>
        <w:rPr>
          <w:rFonts w:ascii="Calibri" w:hAnsi="Calibri"/>
          <w:b w:val="0"/>
          <w:i w:val="0"/>
          <w:sz w:val="22"/>
        </w:rPr>
        <w:t>Karın ağrısı, acil servis başvurularının %5-10'unu oluşturmakta ve geniş bir patoloji yelpazesini kapsamaktadır. Bilgisayarlı tomografi, bu hastaların değerlendirilmesinde altın standart görüntüleme yöntemidir; ancak acil servislerdeki yoğun iş yükü, gece nöbetlerinde radyolog erişiminin sınırlılığı ve incelenmesi gereken kesit sayısının fazlalığı tanı süresini ve hatasını olumsuz etkilemektedir.</w:t>
      </w:r>
    </w:p>
    <w:p>
      <w:pPr>
        <w:pStyle w:val="Heading2"/>
      </w:pPr>
      <w:r>
        <w:rPr>
          <w:rFonts w:ascii="Calibri" w:hAnsi="Calibri"/>
          <w:color w:val="000000"/>
        </w:rPr>
        <w:t>2.2. Mevcut Literatür ve Boşluk</w:t>
      </w:r>
    </w:p>
    <w:p>
      <w:pPr>
        <w:spacing w:after="120" w:line="276" w:lineRule="auto"/>
      </w:pPr>
      <w:r>
        <w:rPr>
          <w:rFonts w:ascii="Calibri" w:hAnsi="Calibri"/>
          <w:b w:val="0"/>
          <w:i w:val="0"/>
          <w:sz w:val="22"/>
        </w:rPr>
        <w:t>Tarafımızca yürütülen kapsam belirleme incelemesinde (Karın Ağrısı için BT'de YZ Uygulamaları, 2021–2026; 234 dahil edilen çalışma) şu boşluklar tespit edilmiştir:</w:t>
      </w:r>
    </w:p>
    <w:p>
      <w:pPr>
        <w:pStyle w:val="ListBullet"/>
        <w:spacing w:after="60"/>
      </w:pPr>
      <w:r>
        <w:rPr>
          <w:rFonts w:ascii="Calibri" w:hAnsi="Calibri"/>
          <w:sz w:val="22"/>
        </w:rPr>
        <w:t>Çalışmaların %96,6'sı tek patoloji odaklıdır; çoklu patoloji saptama bildiren çalışma sayısı yalnızca 4'tür.</w:t>
      </w:r>
    </w:p>
    <w:p>
      <w:pPr>
        <w:pStyle w:val="ListBullet"/>
        <w:spacing w:after="60"/>
      </w:pPr>
      <w:r>
        <w:rPr>
          <w:rFonts w:ascii="Calibri" w:hAnsi="Calibri"/>
          <w:sz w:val="22"/>
        </w:rPr>
        <w:t>Çalışmaların büyük çoğunluğu slice düzeyinde performans bildirmekte; hasta-düzeyi klinik anlamlı raporlama sınırlıdır.</w:t>
      </w:r>
    </w:p>
    <w:p>
      <w:pPr>
        <w:pStyle w:val="ListBullet"/>
        <w:spacing w:after="60"/>
      </w:pPr>
      <w:r>
        <w:rPr>
          <w:rFonts w:ascii="Calibri" w:hAnsi="Calibri"/>
          <w:sz w:val="22"/>
        </w:rPr>
        <w:t>Harici doğrulama oranı %18,8 düzeyinde kalmakta; Türk popülasyonundan veri ile harici doğrulama yapan çalışma neredeyse yoktur.</w:t>
      </w:r>
    </w:p>
    <w:p>
      <w:pPr>
        <w:pStyle w:val="ListBullet"/>
        <w:spacing w:after="60"/>
      </w:pPr>
      <w:r>
        <w:rPr>
          <w:rFonts w:ascii="Calibri" w:hAnsi="Calibri"/>
          <w:sz w:val="22"/>
        </w:rPr>
        <w:t>Açık kod paylaşımı %3,0 ve açık veri paylaşımı %4,3 oranlarında olup tekrarlanabilirlik ciddi biçimde sınırlıdır.</w:t>
      </w:r>
    </w:p>
    <w:p>
      <w:pPr>
        <w:pStyle w:val="Heading2"/>
      </w:pPr>
      <w:r>
        <w:rPr>
          <w:rFonts w:ascii="Calibri" w:hAnsi="Calibri"/>
          <w:color w:val="000000"/>
        </w:rPr>
        <w:t>2.3. TR_ABDOMEN_RAD_EMERGENCY Veri Seti</w:t>
      </w:r>
    </w:p>
    <w:p>
      <w:pPr>
        <w:spacing w:after="120" w:line="276" w:lineRule="auto"/>
      </w:pPr>
      <w:r>
        <w:rPr>
          <w:rFonts w:ascii="Calibri" w:hAnsi="Calibri"/>
          <w:b w:val="0"/>
          <w:i w:val="0"/>
          <w:sz w:val="22"/>
        </w:rPr>
        <w:t>T.C. Sağlık Bakanlığı Sağlık Bilgi Sistemleri Genel Müdürlüğü desteğiyle, Türkiye Sağlık Enstitüleri Başkanlığı yönetiminde, 459 hastanenin Ulusal Teleradiyoloji Sistemi'nden derlenen veri seti, TEKNOFEST-2022 Sağlıkta Yapay Zekâ Yarışması için hazırlanmıştır. Veri seti tam anonimleştirme süreçlerinden geçirilmiş ve 10 deneyimli radyolog tarafından etiketlenmiştir. Altı sınıflı yapısı, scoping review hedef patolojilerimizle birebir örtüşmektedir (Koç et al., Eur Radiol 2024).</w:t>
      </w:r>
    </w:p>
    <w:p>
      <w:pPr>
        <w:spacing w:after="120" w:line="276" w:lineRule="auto"/>
      </w:pPr>
      <w:r>
        <w:rPr>
          <w:rFonts w:ascii="Calibri" w:hAnsi="Calibri"/>
          <w:b w:val="0"/>
          <w:i w:val="0"/>
          <w:sz w:val="22"/>
        </w:rPr>
        <w:t>Bu veri seti üzerinde yayımlanmış en güncel çalışma (Kıran HE, 2025) YOLOv9 mimarisi ile 2B saptama gerçekleştirmiş ve mAP@0,5=0,939 düzeyinde sonuç bildirmiştir. Ancak söz konusu çalışma slice düzeyinde performans raporlamakta, 3B volumetric bilgiyi kullanmamakta ve hasta-düzeyi klinik değerlendirme sağlamamaktadır.</w:t>
      </w:r>
    </w:p>
    <w:p>
      <w:pPr>
        <w:pStyle w:val="Heading1"/>
      </w:pPr>
      <w:r>
        <w:rPr>
          <w:rFonts w:ascii="Calibri" w:hAnsi="Calibri"/>
          <w:color w:val="000000"/>
        </w:rPr>
        <w:t>3. Hipotez ve Hedefler</w:t>
      </w:r>
    </w:p>
    <w:p>
      <w:pPr>
        <w:pStyle w:val="Heading2"/>
      </w:pPr>
      <w:r>
        <w:rPr>
          <w:rFonts w:ascii="Calibri" w:hAnsi="Calibri"/>
          <w:color w:val="000000"/>
        </w:rPr>
        <w:t>3.1. Birincil Hipotez</w:t>
      </w:r>
    </w:p>
    <w:p>
      <w:pPr>
        <w:spacing w:after="120" w:line="276" w:lineRule="auto"/>
      </w:pPr>
      <w:r>
        <w:rPr>
          <w:rFonts w:ascii="Calibri" w:hAnsi="Calibri"/>
          <w:b w:val="0"/>
          <w:i w:val="0"/>
          <w:sz w:val="22"/>
        </w:rPr>
        <w:t>Çoklu HU penceresi ile zenginleştirilmiş 3B patch tabanlı nnDetection (Retina U-Net) yaklaşımı, TR_ABDOMEN_RAD_EMERGENCY veri setinde hasta-düzeyi altı-sınıflı abdominal acil saptamada, eşdeğer eğitim verisiyle yetiştirilmiş 2B YOLO baseline'ına kıyasla istatistiksel olarak anlamlı şekilde daha yüksek ortalama duyarlılık (sensitivity) sağlar (α=0,05).</w:t>
      </w:r>
    </w:p>
    <w:p>
      <w:pPr>
        <w:pStyle w:val="Heading2"/>
      </w:pPr>
      <w:r>
        <w:rPr>
          <w:rFonts w:ascii="Calibri" w:hAnsi="Calibri"/>
          <w:color w:val="000000"/>
        </w:rPr>
        <w:t>3.2. İkincil Hedefler</w:t>
      </w:r>
    </w:p>
    <w:p>
      <w:pPr>
        <w:pStyle w:val="ListBullet"/>
        <w:spacing w:after="60"/>
      </w:pPr>
      <w:r>
        <w:rPr>
          <w:rFonts w:ascii="Calibri" w:hAnsi="Calibri"/>
          <w:sz w:val="22"/>
        </w:rPr>
        <w:t>Patoloji bazında duyarlılık, özgüllük, PPV, NPV, F1 skoru ve hasta-düzeyi AUC değerlerini raporlamak.</w:t>
      </w:r>
    </w:p>
    <w:p>
      <w:pPr>
        <w:pStyle w:val="ListBullet"/>
        <w:spacing w:after="60"/>
      </w:pPr>
      <w:r>
        <w:rPr>
          <w:rFonts w:ascii="Calibri" w:hAnsi="Calibri"/>
          <w:sz w:val="22"/>
        </w:rPr>
        <w:t>Çalışma başına ortalama yanlış-pozitif oranını (FP/scan) ve FROC analiziyle klinik triyaj kullanılabilirliğini değerlendirmek.</w:t>
      </w:r>
    </w:p>
    <w:p>
      <w:pPr>
        <w:pStyle w:val="ListBullet"/>
        <w:spacing w:after="60"/>
      </w:pPr>
      <w:r>
        <w:rPr>
          <w:rFonts w:ascii="Calibri" w:hAnsi="Calibri"/>
          <w:sz w:val="22"/>
        </w:rPr>
        <w:t>Çoklu HU pencereli giriş (soft-tissue + bone + lung) ile tek pencereli girişin performans farkını ablation çalışması ile göstermek.</w:t>
      </w:r>
    </w:p>
    <w:p>
      <w:pPr>
        <w:pStyle w:val="ListBullet"/>
        <w:spacing w:after="60"/>
      </w:pPr>
      <w:r>
        <w:rPr>
          <w:rFonts w:ascii="Calibri" w:hAnsi="Calibri"/>
          <w:sz w:val="22"/>
        </w:rPr>
        <w:t>Eğitim ve çıkarım için kullanılan donanım kaynaklarını (GPU saat, bellek tüketimi) raporlayarak alanda kaynak-verimliliğine ilişkin temel oluşturmak.</w:t>
      </w:r>
    </w:p>
    <w:p>
      <w:pPr>
        <w:pStyle w:val="ListBullet"/>
        <w:spacing w:after="60"/>
      </w:pPr>
      <w:r>
        <w:rPr>
          <w:rFonts w:ascii="Calibri" w:hAnsi="Calibri"/>
          <w:sz w:val="22"/>
        </w:rPr>
        <w:t>Modelin kodunu, ön işleme betiklerini ve değerlendirme protokolünü açık kaynak olarak (GitHub) paylaşarak tekrarlanabilirliğe katkı sağlamak.</w:t>
      </w:r>
    </w:p>
    <w:p>
      <w:pPr>
        <w:pStyle w:val="Heading1"/>
      </w:pPr>
      <w:r>
        <w:rPr>
          <w:rFonts w:ascii="Calibri" w:hAnsi="Calibri"/>
          <w:color w:val="000000"/>
        </w:rPr>
        <w:t>4. Materyal ve Yöntem</w:t>
      </w:r>
    </w:p>
    <w:p>
      <w:pPr>
        <w:pStyle w:val="Heading2"/>
      </w:pPr>
      <w:r>
        <w:rPr>
          <w:rFonts w:ascii="Calibri" w:hAnsi="Calibri"/>
          <w:color w:val="000000"/>
        </w:rPr>
        <w:t>4.1. Çalışma Tasarımı</w:t>
      </w:r>
    </w:p>
    <w:p>
      <w:pPr>
        <w:spacing w:after="120" w:line="276" w:lineRule="auto"/>
      </w:pPr>
      <w:r>
        <w:rPr>
          <w:rFonts w:ascii="Calibri" w:hAnsi="Calibri"/>
          <w:b w:val="0"/>
          <w:i w:val="0"/>
          <w:sz w:val="22"/>
        </w:rPr>
        <w:t>Geriye dönük, gözlemsel, tek merkezli (veri kaynağı bakımından), tanısal doğruluk çalışması. Raporlama STARD 2015 (Standards for Reporting of Diagnostic Accuracy Studies) ve CLAIM (Checklist for Artificial Intelligence in Medical Imaging) kılavuzlarına uygun olarak yapılacaktır.</w:t>
      </w:r>
    </w:p>
    <w:p>
      <w:pPr>
        <w:pStyle w:val="Heading2"/>
      </w:pPr>
      <w:r>
        <w:rPr>
          <w:rFonts w:ascii="Calibri" w:hAnsi="Calibri"/>
          <w:color w:val="000000"/>
        </w:rPr>
        <w:t>4.2. Veri Seti</w:t>
      </w:r>
    </w:p>
    <w:p>
      <w:pPr>
        <w:spacing w:after="120" w:line="276" w:lineRule="auto"/>
      </w:pPr>
      <w:r>
        <w:rPr>
          <w:rFonts w:ascii="Calibri" w:hAnsi="Calibri"/>
          <w:b w:val="0"/>
          <w:i w:val="0"/>
          <w:sz w:val="22"/>
        </w:rPr>
        <w:t>TR_ABDOMEN_RAD_EMERGENCY veri seti (acikveri.saglik.gov.tr/Home/DataSetDetail/2) kullanılacaktır. Veri seti iki kümeden oluşmaktadır: Eğitim Veri Seti (48 zip parça) ve Yarışma Veri Seti (24 zip parça). Resmi yayınında (Koç et al. 2024) tanımlanan 6 sınıflı etiket şemasından yararlanılacaktır.</w:t>
      </w:r>
    </w:p>
    <w:tbl>
      <w:tblPr>
        <w:tblStyle w:val="LightGrid-Accent1"/>
        <w:tblW w:type="auto" w:w="0"/>
        <w:tblLook w:firstColumn="1" w:firstRow="1" w:lastColumn="0" w:lastRow="0" w:noHBand="0" w:noVBand="1" w:val="04A0"/>
      </w:tblPr>
      <w:tblGrid>
        <w:gridCol w:w="3135"/>
        <w:gridCol w:w="3135"/>
        <w:gridCol w:w="3135"/>
      </w:tblGrid>
      <w:tr>
        <w:tc>
          <w:tcPr>
            <w:tcW w:type="dxa" w:w="1134"/>
          </w:tcPr>
          <w:p>
            <w:r/>
            <w:r>
              <w:rPr>
                <w:rFonts w:ascii="Calibri" w:hAnsi="Calibri"/>
                <w:b/>
                <w:sz w:val="20"/>
              </w:rPr>
              <w:t>Sınıf</w:t>
            </w:r>
          </w:p>
        </w:tc>
        <w:tc>
          <w:tcPr>
            <w:tcW w:type="dxa" w:w="2835"/>
          </w:tcPr>
          <w:p>
            <w:r/>
            <w:r>
              <w:rPr>
                <w:rFonts w:ascii="Calibri" w:hAnsi="Calibri"/>
                <w:b/>
                <w:sz w:val="20"/>
              </w:rPr>
              <w:t>Patoloji</w:t>
            </w:r>
          </w:p>
        </w:tc>
        <w:tc>
          <w:tcPr>
            <w:tcW w:type="dxa" w:w="4819"/>
          </w:tcPr>
          <w:p>
            <w:r/>
            <w:r>
              <w:rPr>
                <w:rFonts w:ascii="Calibri" w:hAnsi="Calibri"/>
                <w:b/>
                <w:sz w:val="20"/>
              </w:rPr>
              <w:t>Açıklama</w:t>
            </w:r>
          </w:p>
        </w:tc>
      </w:tr>
      <w:tr>
        <w:tc>
          <w:tcPr>
            <w:tcW w:type="dxa" w:w="1134"/>
          </w:tcPr>
          <w:p>
            <w:r/>
            <w:r>
              <w:rPr>
                <w:rFonts w:ascii="Calibri" w:hAnsi="Calibri"/>
                <w:sz w:val="20"/>
              </w:rPr>
              <w:t>APP</w:t>
            </w:r>
          </w:p>
        </w:tc>
        <w:tc>
          <w:tcPr>
            <w:tcW w:type="dxa" w:w="2835"/>
          </w:tcPr>
          <w:p>
            <w:r/>
            <w:r>
              <w:rPr>
                <w:rFonts w:ascii="Calibri" w:hAnsi="Calibri"/>
                <w:sz w:val="20"/>
              </w:rPr>
              <w:t>Akut apandisit</w:t>
            </w:r>
          </w:p>
        </w:tc>
        <w:tc>
          <w:tcPr>
            <w:tcW w:type="dxa" w:w="4819"/>
          </w:tcPr>
          <w:p>
            <w:r/>
            <w:r>
              <w:rPr>
                <w:rFonts w:ascii="Calibri" w:hAnsi="Calibri"/>
                <w:sz w:val="20"/>
              </w:rPr>
              <w:t>İltihaplı apendiks görüntüsü</w:t>
            </w:r>
          </w:p>
        </w:tc>
      </w:tr>
      <w:tr>
        <w:tc>
          <w:tcPr>
            <w:tcW w:type="dxa" w:w="1134"/>
          </w:tcPr>
          <w:p>
            <w:r/>
            <w:r>
              <w:rPr>
                <w:rFonts w:ascii="Calibri" w:hAnsi="Calibri"/>
                <w:sz w:val="20"/>
              </w:rPr>
              <w:t>CHO</w:t>
            </w:r>
          </w:p>
        </w:tc>
        <w:tc>
          <w:tcPr>
            <w:tcW w:type="dxa" w:w="2835"/>
          </w:tcPr>
          <w:p>
            <w:r/>
            <w:r>
              <w:rPr>
                <w:rFonts w:ascii="Calibri" w:hAnsi="Calibri"/>
                <w:sz w:val="20"/>
              </w:rPr>
              <w:t>Akut kolesistit</w:t>
            </w:r>
          </w:p>
        </w:tc>
        <w:tc>
          <w:tcPr>
            <w:tcW w:type="dxa" w:w="4819"/>
          </w:tcPr>
          <w:p>
            <w:r/>
            <w:r>
              <w:rPr>
                <w:rFonts w:ascii="Calibri" w:hAnsi="Calibri"/>
                <w:sz w:val="20"/>
              </w:rPr>
              <w:t>Safra kesesi duvar kalınlaşması, peri-kolesistik sıvı</w:t>
            </w:r>
          </w:p>
        </w:tc>
      </w:tr>
      <w:tr>
        <w:tc>
          <w:tcPr>
            <w:tcW w:type="dxa" w:w="1134"/>
          </w:tcPr>
          <w:p>
            <w:r/>
            <w:r>
              <w:rPr>
                <w:rFonts w:ascii="Calibri" w:hAnsi="Calibri"/>
                <w:sz w:val="20"/>
              </w:rPr>
              <w:t>PAN</w:t>
            </w:r>
          </w:p>
        </w:tc>
        <w:tc>
          <w:tcPr>
            <w:tcW w:type="dxa" w:w="2835"/>
          </w:tcPr>
          <w:p>
            <w:r/>
            <w:r>
              <w:rPr>
                <w:rFonts w:ascii="Calibri" w:hAnsi="Calibri"/>
                <w:sz w:val="20"/>
              </w:rPr>
              <w:t>Akut pankreatit</w:t>
            </w:r>
          </w:p>
        </w:tc>
        <w:tc>
          <w:tcPr>
            <w:tcW w:type="dxa" w:w="4819"/>
          </w:tcPr>
          <w:p>
            <w:r/>
            <w:r>
              <w:rPr>
                <w:rFonts w:ascii="Calibri" w:hAnsi="Calibri"/>
                <w:sz w:val="20"/>
              </w:rPr>
              <w:t>Pankreas ödemi, peri-pankreatik koleksiyon</w:t>
            </w:r>
          </w:p>
        </w:tc>
      </w:tr>
      <w:tr>
        <w:tc>
          <w:tcPr>
            <w:tcW w:type="dxa" w:w="1134"/>
          </w:tcPr>
          <w:p>
            <w:r/>
            <w:r>
              <w:rPr>
                <w:rFonts w:ascii="Calibri" w:hAnsi="Calibri"/>
                <w:sz w:val="20"/>
              </w:rPr>
              <w:t>URO</w:t>
            </w:r>
          </w:p>
        </w:tc>
        <w:tc>
          <w:tcPr>
            <w:tcW w:type="dxa" w:w="2835"/>
          </w:tcPr>
          <w:p>
            <w:r/>
            <w:r>
              <w:rPr>
                <w:rFonts w:ascii="Calibri" w:hAnsi="Calibri"/>
                <w:sz w:val="20"/>
              </w:rPr>
              <w:t>Ürolitiyazis</w:t>
            </w:r>
          </w:p>
        </w:tc>
        <w:tc>
          <w:tcPr>
            <w:tcW w:type="dxa" w:w="4819"/>
          </w:tcPr>
          <w:p>
            <w:r/>
            <w:r>
              <w:rPr>
                <w:rFonts w:ascii="Calibri" w:hAnsi="Calibri"/>
                <w:sz w:val="20"/>
              </w:rPr>
              <w:t>Üriner sistem taşları</w:t>
            </w:r>
          </w:p>
        </w:tc>
      </w:tr>
      <w:tr>
        <w:tc>
          <w:tcPr>
            <w:tcW w:type="dxa" w:w="1134"/>
          </w:tcPr>
          <w:p>
            <w:r/>
            <w:r>
              <w:rPr>
                <w:rFonts w:ascii="Calibri" w:hAnsi="Calibri"/>
                <w:sz w:val="20"/>
              </w:rPr>
              <w:t>DIV</w:t>
            </w:r>
          </w:p>
        </w:tc>
        <w:tc>
          <w:tcPr>
            <w:tcW w:type="dxa" w:w="2835"/>
          </w:tcPr>
          <w:p>
            <w:r/>
            <w:r>
              <w:rPr>
                <w:rFonts w:ascii="Calibri" w:hAnsi="Calibri"/>
                <w:sz w:val="20"/>
              </w:rPr>
              <w:t>Akut divertikülit</w:t>
            </w:r>
          </w:p>
        </w:tc>
        <w:tc>
          <w:tcPr>
            <w:tcW w:type="dxa" w:w="4819"/>
          </w:tcPr>
          <w:p>
            <w:r/>
            <w:r>
              <w:rPr>
                <w:rFonts w:ascii="Calibri" w:hAnsi="Calibri"/>
                <w:sz w:val="20"/>
              </w:rPr>
              <w:t>Kolon divertikülü etrafında inflamasyon</w:t>
            </w:r>
          </w:p>
        </w:tc>
      </w:tr>
      <w:tr>
        <w:tc>
          <w:tcPr>
            <w:tcW w:type="dxa" w:w="1134"/>
          </w:tcPr>
          <w:p>
            <w:r/>
            <w:r>
              <w:rPr>
                <w:rFonts w:ascii="Calibri" w:hAnsi="Calibri"/>
                <w:sz w:val="20"/>
              </w:rPr>
              <w:t>AAA</w:t>
            </w:r>
          </w:p>
        </w:tc>
        <w:tc>
          <w:tcPr>
            <w:tcW w:type="dxa" w:w="2835"/>
          </w:tcPr>
          <w:p>
            <w:r/>
            <w:r>
              <w:rPr>
                <w:rFonts w:ascii="Calibri" w:hAnsi="Calibri"/>
                <w:sz w:val="20"/>
              </w:rPr>
              <w:t>Aort anevrizması/diseksiyonu</w:t>
            </w:r>
          </w:p>
        </w:tc>
        <w:tc>
          <w:tcPr>
            <w:tcW w:type="dxa" w:w="4819"/>
          </w:tcPr>
          <w:p>
            <w:r/>
            <w:r>
              <w:rPr>
                <w:rFonts w:ascii="Calibri" w:hAnsi="Calibri"/>
                <w:sz w:val="20"/>
              </w:rPr>
              <w:t>Aort çapında genişleme veya intimal flap</w:t>
            </w:r>
          </w:p>
        </w:tc>
      </w:tr>
    </w:tbl>
    <w:p/>
    <w:p>
      <w:pPr>
        <w:pStyle w:val="Heading2"/>
      </w:pPr>
      <w:r>
        <w:rPr>
          <w:rFonts w:ascii="Calibri" w:hAnsi="Calibri"/>
          <w:color w:val="000000"/>
        </w:rPr>
        <w:t>4.3. Veri Bölünmesi</w:t>
      </w:r>
    </w:p>
    <w:p>
      <w:pPr>
        <w:spacing w:after="120" w:line="276" w:lineRule="auto"/>
      </w:pPr>
      <w:r>
        <w:rPr>
          <w:rFonts w:ascii="Calibri" w:hAnsi="Calibri"/>
          <w:b w:val="0"/>
          <w:i w:val="0"/>
          <w:sz w:val="22"/>
        </w:rPr>
        <w:t>Eğitim Veri Seti hasta-bazlı tabakalı 5-katlı çapraz doğrulama (5-fold CV) ile bölünecek; sızıntıyı önlemek için aynı hastanın hiçbir kesiti farklı katlarda yer almayacaktır. Yarışma Veri Seti tamamen ayrılmış harici test kümesi olarak kullanılacak ve modelin son raporlanan performansı bu küme üzerinde hesaplanacaktır.</w:t>
      </w:r>
    </w:p>
    <w:p>
      <w:pPr>
        <w:pStyle w:val="Heading2"/>
      </w:pPr>
      <w:r>
        <w:rPr>
          <w:rFonts w:ascii="Calibri" w:hAnsi="Calibri"/>
          <w:color w:val="000000"/>
        </w:rPr>
        <w:t>4.4. Önişleme</w:t>
      </w:r>
    </w:p>
    <w:p>
      <w:pPr>
        <w:spacing w:after="120" w:line="276" w:lineRule="auto"/>
      </w:pPr>
      <w:r>
        <w:rPr>
          <w:rFonts w:ascii="Calibri" w:hAnsi="Calibri"/>
          <w:b w:val="0"/>
          <w:i w:val="0"/>
          <w:sz w:val="22"/>
        </w:rPr>
        <w:t>Her hastanın DICOM serisinden 3B hacim oluşturulacaktır. Aşağıdaki adımlar uygulanacaktır:</w:t>
      </w:r>
    </w:p>
    <w:p>
      <w:pPr>
        <w:pStyle w:val="ListBullet"/>
        <w:spacing w:after="60"/>
      </w:pPr>
      <w:r>
        <w:rPr>
          <w:rFonts w:ascii="Calibri" w:hAnsi="Calibri"/>
          <w:sz w:val="22"/>
        </w:rPr>
        <w:t>DICOM → NIfTI dönüşümü (dcm2niix); pixel spacing ve slice thickness koruması.</w:t>
      </w:r>
    </w:p>
    <w:p>
      <w:pPr>
        <w:pStyle w:val="ListBullet"/>
        <w:spacing w:after="60"/>
      </w:pPr>
      <w:r>
        <w:rPr>
          <w:rFonts w:ascii="Calibri" w:hAnsi="Calibri"/>
          <w:sz w:val="22"/>
        </w:rPr>
        <w:t>İzotropik yeniden örnekleme (1.0 × 1.0 × 1.5 mm³ varsayılan; nnDetection otomatik konfigürasyonu ile uyumlu).</w:t>
      </w:r>
    </w:p>
    <w:p>
      <w:pPr>
        <w:pStyle w:val="ListBullet"/>
        <w:spacing w:after="60"/>
      </w:pPr>
      <w:r>
        <w:rPr>
          <w:rFonts w:ascii="Calibri" w:hAnsi="Calibri"/>
          <w:sz w:val="22"/>
        </w:rPr>
        <w:t>Çoklu HU pencereleme: (i) soft-tissue (W:400, L:40), (ii) bone (W:1500, L:300), (iii) lung/wide (W:1500, L:-600) — üç kanallı giriş.</w:t>
      </w:r>
    </w:p>
    <w:p>
      <w:pPr>
        <w:pStyle w:val="ListBullet"/>
        <w:spacing w:after="60"/>
      </w:pPr>
      <w:r>
        <w:rPr>
          <w:rFonts w:ascii="Calibri" w:hAnsi="Calibri"/>
          <w:sz w:val="22"/>
        </w:rPr>
        <w:t>Z-skoru normalizasyonu (fold-bağımsız istatistikler ile data leakage önlenir).</w:t>
      </w:r>
    </w:p>
    <w:p>
      <w:pPr>
        <w:pStyle w:val="ListBullet"/>
        <w:spacing w:after="60"/>
      </w:pPr>
      <w:r>
        <w:rPr>
          <w:rFonts w:ascii="Calibri" w:hAnsi="Calibri"/>
          <w:sz w:val="22"/>
        </w:rPr>
        <w:t>3B patch çıkarımı (96×96×96 → bellek kısıtlı çalışmalar; 128×128×128 → tam protokol).</w:t>
      </w:r>
    </w:p>
    <w:p>
      <w:pPr>
        <w:pStyle w:val="ListBullet"/>
        <w:spacing w:after="60"/>
      </w:pPr>
      <w:r>
        <w:rPr>
          <w:rFonts w:ascii="Calibri" w:hAnsi="Calibri"/>
          <w:sz w:val="22"/>
        </w:rPr>
        <w:t>Veri artırma: rastgele döndürme (±15°), gaussian gürültü, rastgele yansıma, intensity jittering.</w:t>
      </w:r>
    </w:p>
    <w:p>
      <w:pPr>
        <w:pStyle w:val="Heading2"/>
      </w:pPr>
      <w:r>
        <w:rPr>
          <w:rFonts w:ascii="Calibri" w:hAnsi="Calibri"/>
          <w:color w:val="000000"/>
        </w:rPr>
        <w:t>4.5. Model Mimarileri</w:t>
      </w:r>
    </w:p>
    <w:p>
      <w:pPr>
        <w:pStyle w:val="Heading3"/>
      </w:pPr>
      <w:r>
        <w:rPr>
          <w:rFonts w:ascii="Calibri" w:hAnsi="Calibri"/>
          <w:color w:val="000000"/>
        </w:rPr>
        <w:t>4.5.1. Birincil Model: 3B nnDetection (Retina U-Net)</w:t>
      </w:r>
    </w:p>
    <w:p>
      <w:pPr>
        <w:spacing w:after="120" w:line="276" w:lineRule="auto"/>
      </w:pPr>
      <w:r>
        <w:rPr>
          <w:rFonts w:ascii="Calibri" w:hAnsi="Calibri"/>
          <w:b w:val="0"/>
          <w:i w:val="0"/>
          <w:sz w:val="22"/>
        </w:rPr>
        <w:t>nnDetection (Baumgartner et al., MICCAI 2021) çerçevesi kullanılacaktır. Bu çerçeve, nnU-Net protokolünü medikal nesne saptama görevine taşımakta ve veri seti özelinde otomatik konfigürasyon (patch boyutu, batch boyutu, epoch sayısı, anchor boyutları, network derinliği) gerçekleştirmektedir. Geriye gönderim (backbone) olarak ResNet-50 türevi 3B U-Net encoder kullanılacak; Retina-Net başı ile sınıflandırma ve regresyon çıktıları alınacaktır.</w:t>
      </w:r>
    </w:p>
    <w:p>
      <w:pPr>
        <w:pStyle w:val="Heading3"/>
      </w:pPr>
      <w:r>
        <w:rPr>
          <w:rFonts w:ascii="Calibri" w:hAnsi="Calibri"/>
          <w:color w:val="000000"/>
        </w:rPr>
        <w:t>4.5.2. İkincil Model: 2B YOLOv11/v12 Baseline</w:t>
      </w:r>
    </w:p>
    <w:p>
      <w:pPr>
        <w:spacing w:after="120" w:line="276" w:lineRule="auto"/>
      </w:pPr>
      <w:r>
        <w:rPr>
          <w:rFonts w:ascii="Calibri" w:hAnsi="Calibri"/>
          <w:b w:val="0"/>
          <w:i w:val="0"/>
          <w:sz w:val="22"/>
        </w:rPr>
        <w:t>Karşılaştırma temeli için Ultralytics YOLOv11/v12 mimarisi kullanılacaktır. Aynı 5-fold bölünmesi, aynı veri artırma stratejisi, slice düzeyinde saptama eğitilir; hasta-düzeyi çıkarım için bir hastanın tüm slice tahminleri çoğunluk-oylama + maksimum güven eşiği ile birleştirilir.</w:t>
      </w:r>
    </w:p>
    <w:p>
      <w:pPr>
        <w:pStyle w:val="Heading3"/>
      </w:pPr>
      <w:r>
        <w:rPr>
          <w:rFonts w:ascii="Calibri" w:hAnsi="Calibri"/>
          <w:color w:val="000000"/>
        </w:rPr>
        <w:t>4.5.3. Hibrit Strateji (B+C)</w:t>
      </w:r>
    </w:p>
    <w:p>
      <w:pPr>
        <w:spacing w:after="120" w:line="276" w:lineRule="auto"/>
      </w:pPr>
      <w:r>
        <w:rPr>
          <w:rFonts w:ascii="Calibri" w:hAnsi="Calibri"/>
          <w:b w:val="0"/>
          <w:i w:val="0"/>
          <w:sz w:val="22"/>
        </w:rPr>
        <w:t>Hibrit yaklaşım kapsamında: (a) Kaggle P100 (16 GB VRAM) üzerinde 5-fold eğitim koşturulacak ve en iyi checkpoint kaydedilecektir; (b) çıkarım, ablation ve görselleştirme aşamaları Google Colab'da yapılacaktır. Bu şekilde Kaggle'ın 30 saat/hafta GPU limiti ile Colab'ın 12 saat oturum limiti birbirini tamamlayacaktır. Patch boyutu Kaggle için 96³, tam kaynak erişiminde 128³ olarak yapılandırılacaktır.</w:t>
      </w:r>
    </w:p>
    <w:p>
      <w:pPr>
        <w:pStyle w:val="Heading2"/>
      </w:pPr>
      <w:r>
        <w:rPr>
          <w:rFonts w:ascii="Calibri" w:hAnsi="Calibri"/>
          <w:color w:val="000000"/>
        </w:rPr>
        <w:t>4.6. Eğitim Protokolü</w:t>
      </w:r>
    </w:p>
    <w:tbl>
      <w:tblPr>
        <w:tblStyle w:val="LightGrid-Accent1"/>
        <w:tblW w:type="auto" w:w="0"/>
        <w:tblLook w:firstColumn="1" w:firstRow="1" w:lastColumn="0" w:lastRow="0" w:noHBand="0" w:noVBand="1" w:val="04A0"/>
      </w:tblPr>
      <w:tblGrid>
        <w:gridCol w:w="3135"/>
        <w:gridCol w:w="3135"/>
        <w:gridCol w:w="3135"/>
      </w:tblGrid>
      <w:tr>
        <w:tc>
          <w:tcPr>
            <w:tcW w:type="dxa" w:w="2835"/>
          </w:tcPr>
          <w:p>
            <w:r/>
            <w:r>
              <w:rPr>
                <w:rFonts w:ascii="Calibri" w:hAnsi="Calibri"/>
                <w:b/>
                <w:sz w:val="20"/>
              </w:rPr>
              <w:t>Hiperparametre</w:t>
            </w:r>
          </w:p>
        </w:tc>
        <w:tc>
          <w:tcPr>
            <w:tcW w:type="dxa" w:w="3118"/>
          </w:tcPr>
          <w:p>
            <w:r/>
            <w:r>
              <w:rPr>
                <w:rFonts w:ascii="Calibri" w:hAnsi="Calibri"/>
                <w:b/>
                <w:sz w:val="20"/>
              </w:rPr>
              <w:t>nnDetection 3B</w:t>
            </w:r>
          </w:p>
        </w:tc>
        <w:tc>
          <w:tcPr>
            <w:tcW w:type="dxa" w:w="3118"/>
          </w:tcPr>
          <w:p>
            <w:r/>
            <w:r>
              <w:rPr>
                <w:rFonts w:ascii="Calibri" w:hAnsi="Calibri"/>
                <w:b/>
                <w:sz w:val="20"/>
              </w:rPr>
              <w:t>YOLOv11/v12 2B</w:t>
            </w:r>
          </w:p>
        </w:tc>
      </w:tr>
      <w:tr>
        <w:tc>
          <w:tcPr>
            <w:tcW w:type="dxa" w:w="2835"/>
          </w:tcPr>
          <w:p>
            <w:r/>
            <w:r>
              <w:rPr>
                <w:rFonts w:ascii="Calibri" w:hAnsi="Calibri"/>
                <w:sz w:val="20"/>
              </w:rPr>
              <w:t>Optimizer</w:t>
            </w:r>
          </w:p>
        </w:tc>
        <w:tc>
          <w:tcPr>
            <w:tcW w:type="dxa" w:w="3118"/>
          </w:tcPr>
          <w:p>
            <w:r/>
            <w:r>
              <w:rPr>
                <w:rFonts w:ascii="Calibri" w:hAnsi="Calibri"/>
                <w:sz w:val="20"/>
              </w:rPr>
              <w:t>SGD + momentum 0,99</w:t>
            </w:r>
          </w:p>
        </w:tc>
        <w:tc>
          <w:tcPr>
            <w:tcW w:type="dxa" w:w="3118"/>
          </w:tcPr>
          <w:p>
            <w:r/>
            <w:r>
              <w:rPr>
                <w:rFonts w:ascii="Calibri" w:hAnsi="Calibri"/>
                <w:sz w:val="20"/>
              </w:rPr>
              <w:t>AdamW</w:t>
            </w:r>
          </w:p>
        </w:tc>
      </w:tr>
      <w:tr>
        <w:tc>
          <w:tcPr>
            <w:tcW w:type="dxa" w:w="2835"/>
          </w:tcPr>
          <w:p>
            <w:r/>
            <w:r>
              <w:rPr>
                <w:rFonts w:ascii="Calibri" w:hAnsi="Calibri"/>
                <w:sz w:val="20"/>
              </w:rPr>
              <w:t>Öğrenme oranı</w:t>
            </w:r>
          </w:p>
        </w:tc>
        <w:tc>
          <w:tcPr>
            <w:tcW w:type="dxa" w:w="3118"/>
          </w:tcPr>
          <w:p>
            <w:r/>
            <w:r>
              <w:rPr>
                <w:rFonts w:ascii="Calibri" w:hAnsi="Calibri"/>
                <w:sz w:val="20"/>
              </w:rPr>
              <w:t>1e-2 (polynomial decay)</w:t>
            </w:r>
          </w:p>
        </w:tc>
        <w:tc>
          <w:tcPr>
            <w:tcW w:type="dxa" w:w="3118"/>
          </w:tcPr>
          <w:p>
            <w:r/>
            <w:r>
              <w:rPr>
                <w:rFonts w:ascii="Calibri" w:hAnsi="Calibri"/>
                <w:sz w:val="20"/>
              </w:rPr>
              <w:t>1e-3 (cosine)</w:t>
            </w:r>
          </w:p>
        </w:tc>
      </w:tr>
      <w:tr>
        <w:tc>
          <w:tcPr>
            <w:tcW w:type="dxa" w:w="2835"/>
          </w:tcPr>
          <w:p>
            <w:r/>
            <w:r>
              <w:rPr>
                <w:rFonts w:ascii="Calibri" w:hAnsi="Calibri"/>
                <w:sz w:val="20"/>
              </w:rPr>
              <w:t>Batch boyutu</w:t>
            </w:r>
          </w:p>
        </w:tc>
        <w:tc>
          <w:tcPr>
            <w:tcW w:type="dxa" w:w="3118"/>
          </w:tcPr>
          <w:p>
            <w:r/>
            <w:r>
              <w:rPr>
                <w:rFonts w:ascii="Calibri" w:hAnsi="Calibri"/>
                <w:sz w:val="20"/>
              </w:rPr>
              <w:t>2 (96³ patch)</w:t>
            </w:r>
          </w:p>
        </w:tc>
        <w:tc>
          <w:tcPr>
            <w:tcW w:type="dxa" w:w="3118"/>
          </w:tcPr>
          <w:p>
            <w:r/>
            <w:r>
              <w:rPr>
                <w:rFonts w:ascii="Calibri" w:hAnsi="Calibri"/>
                <w:sz w:val="20"/>
              </w:rPr>
              <w:t>16 (slice)</w:t>
            </w:r>
          </w:p>
        </w:tc>
      </w:tr>
      <w:tr>
        <w:tc>
          <w:tcPr>
            <w:tcW w:type="dxa" w:w="2835"/>
          </w:tcPr>
          <w:p>
            <w:r/>
            <w:r>
              <w:rPr>
                <w:rFonts w:ascii="Calibri" w:hAnsi="Calibri"/>
                <w:sz w:val="20"/>
              </w:rPr>
              <w:t>Epoch sayısı</w:t>
            </w:r>
          </w:p>
        </w:tc>
        <w:tc>
          <w:tcPr>
            <w:tcW w:type="dxa" w:w="3118"/>
          </w:tcPr>
          <w:p>
            <w:r/>
            <w:r>
              <w:rPr>
                <w:rFonts w:ascii="Calibri" w:hAnsi="Calibri"/>
                <w:sz w:val="20"/>
              </w:rPr>
              <w:t>60 (early stopping)</w:t>
            </w:r>
          </w:p>
        </w:tc>
        <w:tc>
          <w:tcPr>
            <w:tcW w:type="dxa" w:w="3118"/>
          </w:tcPr>
          <w:p>
            <w:r/>
            <w:r>
              <w:rPr>
                <w:rFonts w:ascii="Calibri" w:hAnsi="Calibri"/>
                <w:sz w:val="20"/>
              </w:rPr>
              <w:t>100 (early stopping)</w:t>
            </w:r>
          </w:p>
        </w:tc>
      </w:tr>
      <w:tr>
        <w:tc>
          <w:tcPr>
            <w:tcW w:type="dxa" w:w="2835"/>
          </w:tcPr>
          <w:p>
            <w:r/>
            <w:r>
              <w:rPr>
                <w:rFonts w:ascii="Calibri" w:hAnsi="Calibri"/>
                <w:sz w:val="20"/>
              </w:rPr>
              <w:t>Loss</w:t>
            </w:r>
          </w:p>
        </w:tc>
        <w:tc>
          <w:tcPr>
            <w:tcW w:type="dxa" w:w="3118"/>
          </w:tcPr>
          <w:p>
            <w:r/>
            <w:r>
              <w:rPr>
                <w:rFonts w:ascii="Calibri" w:hAnsi="Calibri"/>
                <w:sz w:val="20"/>
              </w:rPr>
              <w:t>Focal + L1 regresyon</w:t>
            </w:r>
          </w:p>
        </w:tc>
        <w:tc>
          <w:tcPr>
            <w:tcW w:type="dxa" w:w="3118"/>
          </w:tcPr>
          <w:p>
            <w:r/>
            <w:r>
              <w:rPr>
                <w:rFonts w:ascii="Calibri" w:hAnsi="Calibri"/>
                <w:sz w:val="20"/>
              </w:rPr>
              <w:t>CIoU + BCE</w:t>
            </w:r>
          </w:p>
        </w:tc>
      </w:tr>
      <w:tr>
        <w:tc>
          <w:tcPr>
            <w:tcW w:type="dxa" w:w="2835"/>
          </w:tcPr>
          <w:p>
            <w:r/>
            <w:r>
              <w:rPr>
                <w:rFonts w:ascii="Calibri" w:hAnsi="Calibri"/>
                <w:sz w:val="20"/>
              </w:rPr>
              <w:t>Mixed precision</w:t>
            </w:r>
          </w:p>
        </w:tc>
        <w:tc>
          <w:tcPr>
            <w:tcW w:type="dxa" w:w="3118"/>
          </w:tcPr>
          <w:p>
            <w:r/>
            <w:r>
              <w:rPr>
                <w:rFonts w:ascii="Calibri" w:hAnsi="Calibri"/>
                <w:sz w:val="20"/>
              </w:rPr>
              <w:t>Evet (fp16)</w:t>
            </w:r>
          </w:p>
        </w:tc>
        <w:tc>
          <w:tcPr>
            <w:tcW w:type="dxa" w:w="3118"/>
          </w:tcPr>
          <w:p>
            <w:r/>
            <w:r>
              <w:rPr>
                <w:rFonts w:ascii="Calibri" w:hAnsi="Calibri"/>
                <w:sz w:val="20"/>
              </w:rPr>
              <w:t>Evet (fp16)</w:t>
            </w:r>
          </w:p>
        </w:tc>
      </w:tr>
      <w:tr>
        <w:tc>
          <w:tcPr>
            <w:tcW w:type="dxa" w:w="2835"/>
          </w:tcPr>
          <w:p>
            <w:r/>
            <w:r>
              <w:rPr>
                <w:rFonts w:ascii="Calibri" w:hAnsi="Calibri"/>
                <w:sz w:val="20"/>
              </w:rPr>
              <w:t>Donanım</w:t>
            </w:r>
          </w:p>
        </w:tc>
        <w:tc>
          <w:tcPr>
            <w:tcW w:type="dxa" w:w="3118"/>
          </w:tcPr>
          <w:p>
            <w:r/>
            <w:r>
              <w:rPr>
                <w:rFonts w:ascii="Calibri" w:hAnsi="Calibri"/>
                <w:sz w:val="20"/>
              </w:rPr>
              <w:t>Kaggle P100 16 GB</w:t>
            </w:r>
          </w:p>
        </w:tc>
        <w:tc>
          <w:tcPr>
            <w:tcW w:type="dxa" w:w="3118"/>
          </w:tcPr>
          <w:p>
            <w:r/>
            <w:r>
              <w:rPr>
                <w:rFonts w:ascii="Calibri" w:hAnsi="Calibri"/>
                <w:sz w:val="20"/>
              </w:rPr>
              <w:t>Colab T4 15 GB</w:t>
            </w:r>
          </w:p>
        </w:tc>
      </w:tr>
    </w:tbl>
    <w:p/>
    <w:p>
      <w:pPr>
        <w:pStyle w:val="Heading2"/>
      </w:pPr>
      <w:r>
        <w:rPr>
          <w:rFonts w:ascii="Calibri" w:hAnsi="Calibri"/>
          <w:color w:val="000000"/>
        </w:rPr>
        <w:t>4.7. Değerlendirme Metrikleri</w:t>
      </w:r>
    </w:p>
    <w:p>
      <w:pPr>
        <w:spacing w:after="120" w:line="276" w:lineRule="auto"/>
      </w:pPr>
      <w:r>
        <w:rPr>
          <w:rFonts w:ascii="Calibri" w:hAnsi="Calibri"/>
          <w:b w:val="0"/>
          <w:i w:val="0"/>
          <w:sz w:val="22"/>
        </w:rPr>
        <w:t>Tüm metrikler hem global hem patoloji bazında raporlanacaktır:</w:t>
      </w:r>
    </w:p>
    <w:p>
      <w:pPr>
        <w:pStyle w:val="ListBullet"/>
        <w:spacing w:after="60"/>
      </w:pPr>
      <w:r>
        <w:rPr>
          <w:rFonts w:ascii="Calibri" w:hAnsi="Calibri"/>
          <w:sz w:val="22"/>
        </w:rPr>
        <w:t>Hasta-düzeyi: Duyarlılık (sensitivity), özgüllük (specificity), PPV, NPV, F1, accuracy.</w:t>
      </w:r>
    </w:p>
    <w:p>
      <w:pPr>
        <w:pStyle w:val="ListBullet"/>
        <w:spacing w:after="60"/>
      </w:pPr>
      <w:r>
        <w:rPr>
          <w:rFonts w:ascii="Calibri" w:hAnsi="Calibri"/>
          <w:sz w:val="22"/>
        </w:rPr>
        <w:t>Ayırt edicilik: ROC eğrisi altında alan (AUC); 1000-iterasyonlu bootstrap %95 güven aralığı.</w:t>
      </w:r>
    </w:p>
    <w:p>
      <w:pPr>
        <w:pStyle w:val="ListBullet"/>
        <w:spacing w:after="60"/>
      </w:pPr>
      <w:r>
        <w:rPr>
          <w:rFonts w:ascii="Calibri" w:hAnsi="Calibri"/>
          <w:sz w:val="22"/>
        </w:rPr>
        <w:t>Saptama kalitesi: mAP@0,5 ve mAP@0,5:0,95 (COCO standardı, IoU-3B).</w:t>
      </w:r>
    </w:p>
    <w:p>
      <w:pPr>
        <w:pStyle w:val="ListBullet"/>
        <w:spacing w:after="60"/>
      </w:pPr>
      <w:r>
        <w:rPr>
          <w:rFonts w:ascii="Calibri" w:hAnsi="Calibri"/>
          <w:sz w:val="22"/>
        </w:rPr>
        <w:t>Klinik triyaj: FROC eğrisi (1 FP/scan'de sensitivity); ortalama yanlış-pozitif/sken sayısı.</w:t>
      </w:r>
    </w:p>
    <w:p>
      <w:pPr>
        <w:pStyle w:val="ListBullet"/>
        <w:spacing w:after="60"/>
      </w:pPr>
      <w:r>
        <w:rPr>
          <w:rFonts w:ascii="Calibri" w:hAnsi="Calibri"/>
          <w:sz w:val="22"/>
        </w:rPr>
        <w:t>İstatistiksel karşılaştırma: nnDetection vs YOLO için sensitivity farkı; McNemar testi (eşli karşılaştırma).</w:t>
      </w:r>
    </w:p>
    <w:p>
      <w:pPr>
        <w:pStyle w:val="ListBullet"/>
        <w:spacing w:after="60"/>
      </w:pPr>
      <w:r>
        <w:rPr>
          <w:rFonts w:ascii="Calibri" w:hAnsi="Calibri"/>
          <w:sz w:val="22"/>
        </w:rPr>
        <w:t>Hesaplama maliyeti: Eğitim süresi (GPU·saat), çıkarım hızı (saniye/scan), bellek tepe değeri (GB).</w:t>
      </w:r>
    </w:p>
    <w:p>
      <w:pPr>
        <w:pStyle w:val="Heading1"/>
      </w:pPr>
      <w:r>
        <w:rPr>
          <w:rFonts w:ascii="Calibri" w:hAnsi="Calibri"/>
          <w:color w:val="000000"/>
        </w:rPr>
        <w:t>5. Etik Hususlar</w:t>
      </w:r>
    </w:p>
    <w:p>
      <w:pPr>
        <w:spacing w:after="120" w:line="276" w:lineRule="auto"/>
      </w:pPr>
      <w:r>
        <w:rPr>
          <w:rFonts w:ascii="Calibri" w:hAnsi="Calibri"/>
          <w:b w:val="0"/>
          <w:i w:val="0"/>
          <w:sz w:val="22"/>
        </w:rPr>
        <w:t>Çalışma yalnızca tam anonimleştirilmiş, halka açık ikincil veri kaynağı (T.C. Sağlık Bakanlığı Açık Veri Portalı) kullanılarak yürütüleceği için kişisel sağlık verisi işlenmemektedir. Yine de kurumsal etik kurul bildirimi yapılacak ve veri seti kullanım koşullarına (Terms of Use) tam uyum sağlanacaktır. Sonuçlar bireysel hasta düzeyinde değil, agregat performans metrikleri biçiminde sunulacaktır.</w:t>
      </w:r>
    </w:p>
    <w:p>
      <w:pPr>
        <w:pStyle w:val="Heading1"/>
      </w:pPr>
      <w:r>
        <w:rPr>
          <w:rFonts w:ascii="Calibri" w:hAnsi="Calibri"/>
          <w:color w:val="000000"/>
        </w:rPr>
        <w:t>6. Beklenen Çıktılar ve Paylaşım</w:t>
      </w:r>
    </w:p>
    <w:p>
      <w:pPr>
        <w:pStyle w:val="ListBullet"/>
        <w:spacing w:after="60"/>
      </w:pPr>
      <w:r>
        <w:rPr>
          <w:rFonts w:ascii="Calibri" w:hAnsi="Calibri"/>
          <w:sz w:val="22"/>
        </w:rPr>
        <w:t>Birincil çıktı: Türkçe radyoloji/tıp dergisinde hakemli orijinal araştırma makalesi (öncelikle Türk Radyoloji Dergisi, DEÜ Tıp Dergisi veya Diagnostic and Interventional Radiology).</w:t>
      </w:r>
    </w:p>
    <w:p>
      <w:pPr>
        <w:pStyle w:val="ListBullet"/>
        <w:spacing w:after="60"/>
      </w:pPr>
      <w:r>
        <w:rPr>
          <w:rFonts w:ascii="Calibri" w:hAnsi="Calibri"/>
          <w:sz w:val="22"/>
        </w:rPr>
        <w:t>İkincil çıktı: GitHub deposunda açık kaynak kodu (MIT lisansı), eğitilmiş model ağırlıkları (Hugging Face Hub veya Zenodo DOI'si), uçtan uca çıkarım notebook'ları.</w:t>
      </w:r>
    </w:p>
    <w:p>
      <w:pPr>
        <w:pStyle w:val="ListBullet"/>
        <w:spacing w:after="60"/>
      </w:pPr>
      <w:r>
        <w:rPr>
          <w:rFonts w:ascii="Calibri" w:hAnsi="Calibri"/>
          <w:sz w:val="22"/>
        </w:rPr>
        <w:t>Ek çıktı: Ulusal kongre sunumu (TÜRK RAD veya UTSG); poster veya sözlü bildiri.</w:t>
      </w:r>
    </w:p>
    <w:p>
      <w:pPr>
        <w:pStyle w:val="ListBullet"/>
        <w:spacing w:after="60"/>
      </w:pPr>
      <w:r>
        <w:rPr>
          <w:rFonts w:ascii="Calibri" w:hAnsi="Calibri"/>
          <w:sz w:val="22"/>
        </w:rPr>
        <w:t>Tekrarlanabilirlik: Tüm fold bölünmeleri seedlenmiş JSON dosyaları, eğitim logları (Weights &amp; Biases), önişleme betikleri açık paylaşılacaktır.</w:t>
      </w:r>
    </w:p>
    <w:p>
      <w:pPr>
        <w:pStyle w:val="Heading1"/>
      </w:pPr>
      <w:r>
        <w:rPr>
          <w:rFonts w:ascii="Calibri" w:hAnsi="Calibri"/>
          <w:color w:val="000000"/>
        </w:rPr>
        <w:t>7. Çalışma Takvimi (Tahmini)</w:t>
      </w:r>
    </w:p>
    <w:tbl>
      <w:tblPr>
        <w:tblStyle w:val="LightGrid-Accent1"/>
        <w:tblW w:type="auto" w:w="0"/>
        <w:tblLook w:firstColumn="1" w:firstRow="1" w:lastColumn="0" w:lastRow="0" w:noHBand="0" w:noVBand="1" w:val="04A0"/>
      </w:tblPr>
      <w:tblGrid>
        <w:gridCol w:w="2351"/>
        <w:gridCol w:w="2351"/>
        <w:gridCol w:w="2351"/>
        <w:gridCol w:w="2351"/>
      </w:tblGrid>
      <w:tr>
        <w:tc>
          <w:tcPr>
            <w:tcW w:type="dxa" w:w="850"/>
          </w:tcPr>
          <w:p>
            <w:r/>
            <w:r>
              <w:rPr>
                <w:rFonts w:ascii="Calibri" w:hAnsi="Calibri"/>
                <w:b/>
                <w:sz w:val="20"/>
              </w:rPr>
              <w:t>Faz</w:t>
            </w:r>
          </w:p>
        </w:tc>
        <w:tc>
          <w:tcPr>
            <w:tcW w:type="dxa" w:w="4252"/>
          </w:tcPr>
          <w:p>
            <w:r/>
            <w:r>
              <w:rPr>
                <w:rFonts w:ascii="Calibri" w:hAnsi="Calibri"/>
                <w:b/>
                <w:sz w:val="20"/>
              </w:rPr>
              <w:t>Aktivite</w:t>
            </w:r>
          </w:p>
        </w:tc>
        <w:tc>
          <w:tcPr>
            <w:tcW w:type="dxa" w:w="1701"/>
          </w:tcPr>
          <w:p>
            <w:r/>
            <w:r>
              <w:rPr>
                <w:rFonts w:ascii="Calibri" w:hAnsi="Calibri"/>
                <w:b/>
                <w:sz w:val="20"/>
              </w:rPr>
              <w:t>Süre</w:t>
            </w:r>
          </w:p>
        </w:tc>
        <w:tc>
          <w:tcPr>
            <w:tcW w:type="dxa" w:w="2268"/>
          </w:tcPr>
          <w:p>
            <w:r/>
            <w:r>
              <w:rPr>
                <w:rFonts w:ascii="Calibri" w:hAnsi="Calibri"/>
                <w:b/>
                <w:sz w:val="20"/>
              </w:rPr>
              <w:t>Çıktı</w:t>
            </w:r>
          </w:p>
        </w:tc>
      </w:tr>
      <w:tr>
        <w:tc>
          <w:tcPr>
            <w:tcW w:type="dxa" w:w="850"/>
          </w:tcPr>
          <w:p>
            <w:r/>
            <w:r>
              <w:rPr>
                <w:rFonts w:ascii="Calibri" w:hAnsi="Calibri"/>
                <w:sz w:val="20"/>
              </w:rPr>
              <w:t>1</w:t>
            </w:r>
          </w:p>
        </w:tc>
        <w:tc>
          <w:tcPr>
            <w:tcW w:type="dxa" w:w="4252"/>
          </w:tcPr>
          <w:p>
            <w:r/>
            <w:r>
              <w:rPr>
                <w:rFonts w:ascii="Calibri" w:hAnsi="Calibri"/>
                <w:sz w:val="20"/>
              </w:rPr>
              <w:t>Veri indirme + dcm2niix + format doğrulama</w:t>
            </w:r>
          </w:p>
        </w:tc>
        <w:tc>
          <w:tcPr>
            <w:tcW w:type="dxa" w:w="1701"/>
          </w:tcPr>
          <w:p>
            <w:r/>
            <w:r>
              <w:rPr>
                <w:rFonts w:ascii="Calibri" w:hAnsi="Calibri"/>
                <w:sz w:val="20"/>
              </w:rPr>
              <w:t>1-2 hafta</w:t>
            </w:r>
          </w:p>
        </w:tc>
        <w:tc>
          <w:tcPr>
            <w:tcW w:type="dxa" w:w="2268"/>
          </w:tcPr>
          <w:p>
            <w:r/>
            <w:r>
              <w:rPr>
                <w:rFonts w:ascii="Calibri" w:hAnsi="Calibri"/>
                <w:sz w:val="20"/>
              </w:rPr>
              <w:t>NIfTI veri tabanı</w:t>
            </w:r>
          </w:p>
        </w:tc>
      </w:tr>
      <w:tr>
        <w:tc>
          <w:tcPr>
            <w:tcW w:type="dxa" w:w="850"/>
          </w:tcPr>
          <w:p>
            <w:r/>
            <w:r>
              <w:rPr>
                <w:rFonts w:ascii="Calibri" w:hAnsi="Calibri"/>
                <w:sz w:val="20"/>
              </w:rPr>
              <w:t>2</w:t>
            </w:r>
          </w:p>
        </w:tc>
        <w:tc>
          <w:tcPr>
            <w:tcW w:type="dxa" w:w="4252"/>
          </w:tcPr>
          <w:p>
            <w:r/>
            <w:r>
              <w:rPr>
                <w:rFonts w:ascii="Calibri" w:hAnsi="Calibri"/>
                <w:sz w:val="20"/>
              </w:rPr>
              <w:t>5-fold bölünmesi + ön işleme pipeline</w:t>
            </w:r>
          </w:p>
        </w:tc>
        <w:tc>
          <w:tcPr>
            <w:tcW w:type="dxa" w:w="1701"/>
          </w:tcPr>
          <w:p>
            <w:r/>
            <w:r>
              <w:rPr>
                <w:rFonts w:ascii="Calibri" w:hAnsi="Calibri"/>
                <w:sz w:val="20"/>
              </w:rPr>
              <w:t>1 hafta</w:t>
            </w:r>
          </w:p>
        </w:tc>
        <w:tc>
          <w:tcPr>
            <w:tcW w:type="dxa" w:w="2268"/>
          </w:tcPr>
          <w:p>
            <w:r/>
            <w:r>
              <w:rPr>
                <w:rFonts w:ascii="Calibri" w:hAnsi="Calibri"/>
                <w:sz w:val="20"/>
              </w:rPr>
              <w:t>Önişlenmiş patch'ler</w:t>
            </w:r>
          </w:p>
        </w:tc>
      </w:tr>
      <w:tr>
        <w:tc>
          <w:tcPr>
            <w:tcW w:type="dxa" w:w="850"/>
          </w:tcPr>
          <w:p>
            <w:r/>
            <w:r>
              <w:rPr>
                <w:rFonts w:ascii="Calibri" w:hAnsi="Calibri"/>
                <w:sz w:val="20"/>
              </w:rPr>
              <w:t>3</w:t>
            </w:r>
          </w:p>
        </w:tc>
        <w:tc>
          <w:tcPr>
            <w:tcW w:type="dxa" w:w="4252"/>
          </w:tcPr>
          <w:p>
            <w:r/>
            <w:r>
              <w:rPr>
                <w:rFonts w:ascii="Calibri" w:hAnsi="Calibri"/>
                <w:sz w:val="20"/>
              </w:rPr>
              <w:t>YOLO baseline eğitimi (5-fold)</w:t>
            </w:r>
          </w:p>
        </w:tc>
        <w:tc>
          <w:tcPr>
            <w:tcW w:type="dxa" w:w="1701"/>
          </w:tcPr>
          <w:p>
            <w:r/>
            <w:r>
              <w:rPr>
                <w:rFonts w:ascii="Calibri" w:hAnsi="Calibri"/>
                <w:sz w:val="20"/>
              </w:rPr>
              <w:t>2 hafta</w:t>
            </w:r>
          </w:p>
        </w:tc>
        <w:tc>
          <w:tcPr>
            <w:tcW w:type="dxa" w:w="2268"/>
          </w:tcPr>
          <w:p>
            <w:r/>
            <w:r>
              <w:rPr>
                <w:rFonts w:ascii="Calibri" w:hAnsi="Calibri"/>
                <w:sz w:val="20"/>
              </w:rPr>
              <w:t>2B baseline metrikleri</w:t>
            </w:r>
          </w:p>
        </w:tc>
      </w:tr>
      <w:tr>
        <w:tc>
          <w:tcPr>
            <w:tcW w:type="dxa" w:w="850"/>
          </w:tcPr>
          <w:p>
            <w:r/>
            <w:r>
              <w:rPr>
                <w:rFonts w:ascii="Calibri" w:hAnsi="Calibri"/>
                <w:sz w:val="20"/>
              </w:rPr>
              <w:t>4</w:t>
            </w:r>
          </w:p>
        </w:tc>
        <w:tc>
          <w:tcPr>
            <w:tcW w:type="dxa" w:w="4252"/>
          </w:tcPr>
          <w:p>
            <w:r/>
            <w:r>
              <w:rPr>
                <w:rFonts w:ascii="Calibri" w:hAnsi="Calibri"/>
                <w:sz w:val="20"/>
              </w:rPr>
              <w:t>nnDetection planlama + eğitim (5-fold)</w:t>
            </w:r>
          </w:p>
        </w:tc>
        <w:tc>
          <w:tcPr>
            <w:tcW w:type="dxa" w:w="1701"/>
          </w:tcPr>
          <w:p>
            <w:r/>
            <w:r>
              <w:rPr>
                <w:rFonts w:ascii="Calibri" w:hAnsi="Calibri"/>
                <w:sz w:val="20"/>
              </w:rPr>
              <w:t>3-4 hafta</w:t>
            </w:r>
          </w:p>
        </w:tc>
        <w:tc>
          <w:tcPr>
            <w:tcW w:type="dxa" w:w="2268"/>
          </w:tcPr>
          <w:p>
            <w:r/>
            <w:r>
              <w:rPr>
                <w:rFonts w:ascii="Calibri" w:hAnsi="Calibri"/>
                <w:sz w:val="20"/>
              </w:rPr>
              <w:t>3B model metrikleri</w:t>
            </w:r>
          </w:p>
        </w:tc>
      </w:tr>
      <w:tr>
        <w:tc>
          <w:tcPr>
            <w:tcW w:type="dxa" w:w="850"/>
          </w:tcPr>
          <w:p>
            <w:r/>
            <w:r>
              <w:rPr>
                <w:rFonts w:ascii="Calibri" w:hAnsi="Calibri"/>
                <w:sz w:val="20"/>
              </w:rPr>
              <w:t>5</w:t>
            </w:r>
          </w:p>
        </w:tc>
        <w:tc>
          <w:tcPr>
            <w:tcW w:type="dxa" w:w="4252"/>
          </w:tcPr>
          <w:p>
            <w:r/>
            <w:r>
              <w:rPr>
                <w:rFonts w:ascii="Calibri" w:hAnsi="Calibri"/>
                <w:sz w:val="20"/>
              </w:rPr>
              <w:t>Yarışma seti üzerinde harici test</w:t>
            </w:r>
          </w:p>
        </w:tc>
        <w:tc>
          <w:tcPr>
            <w:tcW w:type="dxa" w:w="1701"/>
          </w:tcPr>
          <w:p>
            <w:r/>
            <w:r>
              <w:rPr>
                <w:rFonts w:ascii="Calibri" w:hAnsi="Calibri"/>
                <w:sz w:val="20"/>
              </w:rPr>
              <w:t>1 hafta</w:t>
            </w:r>
          </w:p>
        </w:tc>
        <w:tc>
          <w:tcPr>
            <w:tcW w:type="dxa" w:w="2268"/>
          </w:tcPr>
          <w:p>
            <w:r/>
            <w:r>
              <w:rPr>
                <w:rFonts w:ascii="Calibri" w:hAnsi="Calibri"/>
                <w:sz w:val="20"/>
              </w:rPr>
              <w:t>Final raporlama</w:t>
            </w:r>
          </w:p>
        </w:tc>
      </w:tr>
      <w:tr>
        <w:tc>
          <w:tcPr>
            <w:tcW w:type="dxa" w:w="850"/>
          </w:tcPr>
          <w:p>
            <w:r/>
            <w:r>
              <w:rPr>
                <w:rFonts w:ascii="Calibri" w:hAnsi="Calibri"/>
                <w:sz w:val="20"/>
              </w:rPr>
              <w:t>6</w:t>
            </w:r>
          </w:p>
        </w:tc>
        <w:tc>
          <w:tcPr>
            <w:tcW w:type="dxa" w:w="4252"/>
          </w:tcPr>
          <w:p>
            <w:r/>
            <w:r>
              <w:rPr>
                <w:rFonts w:ascii="Calibri" w:hAnsi="Calibri"/>
                <w:sz w:val="20"/>
              </w:rPr>
              <w:t>Ablation: HU pencereleri</w:t>
            </w:r>
          </w:p>
        </w:tc>
        <w:tc>
          <w:tcPr>
            <w:tcW w:type="dxa" w:w="1701"/>
          </w:tcPr>
          <w:p>
            <w:r/>
            <w:r>
              <w:rPr>
                <w:rFonts w:ascii="Calibri" w:hAnsi="Calibri"/>
                <w:sz w:val="20"/>
              </w:rPr>
              <w:t>1-2 hafta</w:t>
            </w:r>
          </w:p>
        </w:tc>
        <w:tc>
          <w:tcPr>
            <w:tcW w:type="dxa" w:w="2268"/>
          </w:tcPr>
          <w:p>
            <w:r/>
            <w:r>
              <w:rPr>
                <w:rFonts w:ascii="Calibri" w:hAnsi="Calibri"/>
                <w:sz w:val="20"/>
              </w:rPr>
              <w:t>Ek tablolar</w:t>
            </w:r>
          </w:p>
        </w:tc>
      </w:tr>
      <w:tr>
        <w:tc>
          <w:tcPr>
            <w:tcW w:type="dxa" w:w="850"/>
          </w:tcPr>
          <w:p>
            <w:r/>
            <w:r>
              <w:rPr>
                <w:rFonts w:ascii="Calibri" w:hAnsi="Calibri"/>
                <w:sz w:val="20"/>
              </w:rPr>
              <w:t>7</w:t>
            </w:r>
          </w:p>
        </w:tc>
        <w:tc>
          <w:tcPr>
            <w:tcW w:type="dxa" w:w="4252"/>
          </w:tcPr>
          <w:p>
            <w:r/>
            <w:r>
              <w:rPr>
                <w:rFonts w:ascii="Calibri" w:hAnsi="Calibri"/>
                <w:sz w:val="20"/>
              </w:rPr>
              <w:t>Makale yazımı + revizyon</w:t>
            </w:r>
          </w:p>
        </w:tc>
        <w:tc>
          <w:tcPr>
            <w:tcW w:type="dxa" w:w="1701"/>
          </w:tcPr>
          <w:p>
            <w:r/>
            <w:r>
              <w:rPr>
                <w:rFonts w:ascii="Calibri" w:hAnsi="Calibri"/>
                <w:sz w:val="20"/>
              </w:rPr>
              <w:t>3-4 hafta</w:t>
            </w:r>
          </w:p>
        </w:tc>
        <w:tc>
          <w:tcPr>
            <w:tcW w:type="dxa" w:w="2268"/>
          </w:tcPr>
          <w:p>
            <w:r/>
            <w:r>
              <w:rPr>
                <w:rFonts w:ascii="Calibri" w:hAnsi="Calibri"/>
                <w:sz w:val="20"/>
              </w:rPr>
              <w:t>Dergi taslağı</w:t>
            </w:r>
          </w:p>
        </w:tc>
      </w:tr>
      <w:tr>
        <w:tc>
          <w:tcPr>
            <w:tcW w:type="dxa" w:w="850"/>
          </w:tcPr>
          <w:p>
            <w:r/>
            <w:r>
              <w:rPr>
                <w:rFonts w:ascii="Calibri" w:hAnsi="Calibri"/>
                <w:sz w:val="20"/>
              </w:rPr>
              <w:t>8</w:t>
            </w:r>
          </w:p>
        </w:tc>
        <w:tc>
          <w:tcPr>
            <w:tcW w:type="dxa" w:w="4252"/>
          </w:tcPr>
          <w:p>
            <w:r/>
            <w:r>
              <w:rPr>
                <w:rFonts w:ascii="Calibri" w:hAnsi="Calibri"/>
                <w:sz w:val="20"/>
              </w:rPr>
              <w:t>Hakem yanıtları</w:t>
            </w:r>
          </w:p>
        </w:tc>
        <w:tc>
          <w:tcPr>
            <w:tcW w:type="dxa" w:w="1701"/>
          </w:tcPr>
          <w:p>
            <w:r/>
            <w:r>
              <w:rPr>
                <w:rFonts w:ascii="Calibri" w:hAnsi="Calibri"/>
                <w:sz w:val="20"/>
              </w:rPr>
              <w:t>Süreç bazlı</w:t>
            </w:r>
          </w:p>
        </w:tc>
        <w:tc>
          <w:tcPr>
            <w:tcW w:type="dxa" w:w="2268"/>
          </w:tcPr>
          <w:p>
            <w:r/>
            <w:r>
              <w:rPr>
                <w:rFonts w:ascii="Calibri" w:hAnsi="Calibri"/>
                <w:sz w:val="20"/>
              </w:rPr>
              <w:t>Yayın</w:t>
            </w:r>
          </w:p>
        </w:tc>
      </w:tr>
    </w:tbl>
    <w:p/>
    <w:p>
      <w:pPr>
        <w:pStyle w:val="Heading1"/>
      </w:pPr>
      <w:r>
        <w:rPr>
          <w:rFonts w:ascii="Calibri" w:hAnsi="Calibri"/>
          <w:color w:val="000000"/>
        </w:rPr>
        <w:t>8. Riskler ve Azaltma Stratejileri</w:t>
      </w:r>
    </w:p>
    <w:tbl>
      <w:tblPr>
        <w:tblStyle w:val="LightGrid-Accent1"/>
        <w:tblW w:type="auto" w:w="0"/>
        <w:tblLook w:firstColumn="1" w:firstRow="1" w:lastColumn="0" w:lastRow="0" w:noHBand="0" w:noVBand="1" w:val="04A0"/>
      </w:tblPr>
      <w:tblGrid>
        <w:gridCol w:w="2351"/>
        <w:gridCol w:w="2351"/>
        <w:gridCol w:w="2351"/>
        <w:gridCol w:w="2351"/>
      </w:tblGrid>
      <w:tr>
        <w:tc>
          <w:tcPr>
            <w:tcW w:type="dxa" w:w="3402"/>
          </w:tcPr>
          <w:p>
            <w:r/>
            <w:r>
              <w:rPr>
                <w:rFonts w:ascii="Calibri" w:hAnsi="Calibri"/>
                <w:b/>
                <w:sz w:val="20"/>
              </w:rPr>
              <w:t>Risk</w:t>
            </w:r>
          </w:p>
        </w:tc>
        <w:tc>
          <w:tcPr>
            <w:tcW w:type="dxa" w:w="1134"/>
          </w:tcPr>
          <w:p>
            <w:r/>
            <w:r>
              <w:rPr>
                <w:rFonts w:ascii="Calibri" w:hAnsi="Calibri"/>
                <w:b/>
                <w:sz w:val="20"/>
              </w:rPr>
              <w:t>Olasılık</w:t>
            </w:r>
          </w:p>
        </w:tc>
        <w:tc>
          <w:tcPr>
            <w:tcW w:type="dxa" w:w="1134"/>
          </w:tcPr>
          <w:p>
            <w:r/>
            <w:r>
              <w:rPr>
                <w:rFonts w:ascii="Calibri" w:hAnsi="Calibri"/>
                <w:b/>
                <w:sz w:val="20"/>
              </w:rPr>
              <w:t>Etki</w:t>
            </w:r>
          </w:p>
        </w:tc>
        <w:tc>
          <w:tcPr>
            <w:tcW w:type="dxa" w:w="3402"/>
          </w:tcPr>
          <w:p>
            <w:r/>
            <w:r>
              <w:rPr>
                <w:rFonts w:ascii="Calibri" w:hAnsi="Calibri"/>
                <w:b/>
                <w:sz w:val="20"/>
              </w:rPr>
              <w:t>Azaltma</w:t>
            </w:r>
          </w:p>
        </w:tc>
      </w:tr>
      <w:tr>
        <w:tc>
          <w:tcPr>
            <w:tcW w:type="dxa" w:w="3402"/>
          </w:tcPr>
          <w:p>
            <w:r/>
            <w:r>
              <w:rPr>
                <w:rFonts w:ascii="Calibri" w:hAnsi="Calibri"/>
                <w:sz w:val="20"/>
              </w:rPr>
              <w:t>Veri indirme bölünmesi/sunucu kesintisi</w:t>
            </w:r>
          </w:p>
        </w:tc>
        <w:tc>
          <w:tcPr>
            <w:tcW w:type="dxa" w:w="1134"/>
          </w:tcPr>
          <w:p>
            <w:r/>
            <w:r>
              <w:rPr>
                <w:rFonts w:ascii="Calibri" w:hAnsi="Calibri"/>
                <w:sz w:val="20"/>
              </w:rPr>
              <w:t>Orta</w:t>
            </w:r>
          </w:p>
        </w:tc>
        <w:tc>
          <w:tcPr>
            <w:tcW w:type="dxa" w:w="1134"/>
          </w:tcPr>
          <w:p>
            <w:r/>
            <w:r>
              <w:rPr>
                <w:rFonts w:ascii="Calibri" w:hAnsi="Calibri"/>
                <w:sz w:val="20"/>
              </w:rPr>
              <w:t>Yüksek</w:t>
            </w:r>
          </w:p>
        </w:tc>
        <w:tc>
          <w:tcPr>
            <w:tcW w:type="dxa" w:w="3402"/>
          </w:tcPr>
          <w:p>
            <w:r/>
            <w:r>
              <w:rPr>
                <w:rFonts w:ascii="Calibri" w:hAnsi="Calibri"/>
                <w:sz w:val="20"/>
              </w:rPr>
              <w:t>Kademeli indirme, MD5 doğrulaması, ayna depolama</w:t>
            </w:r>
          </w:p>
        </w:tc>
      </w:tr>
      <w:tr>
        <w:tc>
          <w:tcPr>
            <w:tcW w:type="dxa" w:w="3402"/>
          </w:tcPr>
          <w:p>
            <w:r/>
            <w:r>
              <w:rPr>
                <w:rFonts w:ascii="Calibri" w:hAnsi="Calibri"/>
                <w:sz w:val="20"/>
              </w:rPr>
              <w:t>Kaggle GPU limit aşımı</w:t>
            </w:r>
          </w:p>
        </w:tc>
        <w:tc>
          <w:tcPr>
            <w:tcW w:type="dxa" w:w="1134"/>
          </w:tcPr>
          <w:p>
            <w:r/>
            <w:r>
              <w:rPr>
                <w:rFonts w:ascii="Calibri" w:hAnsi="Calibri"/>
                <w:sz w:val="20"/>
              </w:rPr>
              <w:t>Yüksek</w:t>
            </w:r>
          </w:p>
        </w:tc>
        <w:tc>
          <w:tcPr>
            <w:tcW w:type="dxa" w:w="1134"/>
          </w:tcPr>
          <w:p>
            <w:r/>
            <w:r>
              <w:rPr>
                <w:rFonts w:ascii="Calibri" w:hAnsi="Calibri"/>
                <w:sz w:val="20"/>
              </w:rPr>
              <w:t>Orta</w:t>
            </w:r>
          </w:p>
        </w:tc>
        <w:tc>
          <w:tcPr>
            <w:tcW w:type="dxa" w:w="3402"/>
          </w:tcPr>
          <w:p>
            <w:r/>
            <w:r>
              <w:rPr>
                <w:rFonts w:ascii="Calibri" w:hAnsi="Calibri"/>
                <w:sz w:val="20"/>
              </w:rPr>
              <w:t>Patch küçültme, gradient accumulation, model checkpoint sık kayıt</w:t>
            </w:r>
          </w:p>
        </w:tc>
      </w:tr>
      <w:tr>
        <w:tc>
          <w:tcPr>
            <w:tcW w:type="dxa" w:w="3402"/>
          </w:tcPr>
          <w:p>
            <w:r/>
            <w:r>
              <w:rPr>
                <w:rFonts w:ascii="Calibri" w:hAnsi="Calibri"/>
                <w:sz w:val="20"/>
              </w:rPr>
              <w:t>Sınıf dengesizliği (DIV n düşük)</w:t>
            </w:r>
          </w:p>
        </w:tc>
        <w:tc>
          <w:tcPr>
            <w:tcW w:type="dxa" w:w="1134"/>
          </w:tcPr>
          <w:p>
            <w:r/>
            <w:r>
              <w:rPr>
                <w:rFonts w:ascii="Calibri" w:hAnsi="Calibri"/>
                <w:sz w:val="20"/>
              </w:rPr>
              <w:t>Yüksek</w:t>
            </w:r>
          </w:p>
        </w:tc>
        <w:tc>
          <w:tcPr>
            <w:tcW w:type="dxa" w:w="1134"/>
          </w:tcPr>
          <w:p>
            <w:r/>
            <w:r>
              <w:rPr>
                <w:rFonts w:ascii="Calibri" w:hAnsi="Calibri"/>
                <w:sz w:val="20"/>
              </w:rPr>
              <w:t>Orta</w:t>
            </w:r>
          </w:p>
        </w:tc>
        <w:tc>
          <w:tcPr>
            <w:tcW w:type="dxa" w:w="3402"/>
          </w:tcPr>
          <w:p>
            <w:r/>
            <w:r>
              <w:rPr>
                <w:rFonts w:ascii="Calibri" w:hAnsi="Calibri"/>
                <w:sz w:val="20"/>
              </w:rPr>
              <w:t>Focal loss, sınıf-ağırlıklı örnekleme, oversampling</w:t>
            </w:r>
          </w:p>
        </w:tc>
      </w:tr>
      <w:tr>
        <w:tc>
          <w:tcPr>
            <w:tcW w:type="dxa" w:w="3402"/>
          </w:tcPr>
          <w:p>
            <w:r/>
            <w:r>
              <w:rPr>
                <w:rFonts w:ascii="Calibri" w:hAnsi="Calibri"/>
                <w:sz w:val="20"/>
              </w:rPr>
              <w:t>nnDetection kurulum zorluğu (Colab)</w:t>
            </w:r>
          </w:p>
        </w:tc>
        <w:tc>
          <w:tcPr>
            <w:tcW w:type="dxa" w:w="1134"/>
          </w:tcPr>
          <w:p>
            <w:r/>
            <w:r>
              <w:rPr>
                <w:rFonts w:ascii="Calibri" w:hAnsi="Calibri"/>
                <w:sz w:val="20"/>
              </w:rPr>
              <w:t>Orta</w:t>
            </w:r>
          </w:p>
        </w:tc>
        <w:tc>
          <w:tcPr>
            <w:tcW w:type="dxa" w:w="1134"/>
          </w:tcPr>
          <w:p>
            <w:r/>
            <w:r>
              <w:rPr>
                <w:rFonts w:ascii="Calibri" w:hAnsi="Calibri"/>
                <w:sz w:val="20"/>
              </w:rPr>
              <w:t>Yüksek</w:t>
            </w:r>
          </w:p>
        </w:tc>
        <w:tc>
          <w:tcPr>
            <w:tcW w:type="dxa" w:w="3402"/>
          </w:tcPr>
          <w:p>
            <w:r/>
            <w:r>
              <w:rPr>
                <w:rFonts w:ascii="Calibri" w:hAnsi="Calibri"/>
                <w:sz w:val="20"/>
              </w:rPr>
              <w:t>Docker image kullanımı; alternatif olarak MONAI Detection veya MedicalNet</w:t>
            </w:r>
          </w:p>
        </w:tc>
      </w:tr>
      <w:tr>
        <w:tc>
          <w:tcPr>
            <w:tcW w:type="dxa" w:w="3402"/>
          </w:tcPr>
          <w:p>
            <w:r/>
            <w:r>
              <w:rPr>
                <w:rFonts w:ascii="Calibri" w:hAnsi="Calibri"/>
                <w:sz w:val="20"/>
              </w:rPr>
              <w:t>DICOM meta-veri tutarsızlığı</w:t>
            </w:r>
          </w:p>
        </w:tc>
        <w:tc>
          <w:tcPr>
            <w:tcW w:type="dxa" w:w="1134"/>
          </w:tcPr>
          <w:p>
            <w:r/>
            <w:r>
              <w:rPr>
                <w:rFonts w:ascii="Calibri" w:hAnsi="Calibri"/>
                <w:sz w:val="20"/>
              </w:rPr>
              <w:t>Orta</w:t>
            </w:r>
          </w:p>
        </w:tc>
        <w:tc>
          <w:tcPr>
            <w:tcW w:type="dxa" w:w="1134"/>
          </w:tcPr>
          <w:p>
            <w:r/>
            <w:r>
              <w:rPr>
                <w:rFonts w:ascii="Calibri" w:hAnsi="Calibri"/>
                <w:sz w:val="20"/>
              </w:rPr>
              <w:t>Orta</w:t>
            </w:r>
          </w:p>
        </w:tc>
        <w:tc>
          <w:tcPr>
            <w:tcW w:type="dxa" w:w="3402"/>
          </w:tcPr>
          <w:p>
            <w:r/>
            <w:r>
              <w:rPr>
                <w:rFonts w:ascii="Calibri" w:hAnsi="Calibri"/>
                <w:sz w:val="20"/>
              </w:rPr>
              <w:t>Otomatik filtreleme + manuel örneklemli doğrulama</w:t>
            </w:r>
          </w:p>
        </w:tc>
      </w:tr>
      <w:tr>
        <w:tc>
          <w:tcPr>
            <w:tcW w:type="dxa" w:w="3402"/>
          </w:tcPr>
          <w:p>
            <w:r/>
            <w:r>
              <w:rPr>
                <w:rFonts w:ascii="Calibri" w:hAnsi="Calibri"/>
                <w:sz w:val="20"/>
              </w:rPr>
              <w:t>Etik kurul onay gecikmesi</w:t>
            </w:r>
          </w:p>
        </w:tc>
        <w:tc>
          <w:tcPr>
            <w:tcW w:type="dxa" w:w="1134"/>
          </w:tcPr>
          <w:p>
            <w:r/>
            <w:r>
              <w:rPr>
                <w:rFonts w:ascii="Calibri" w:hAnsi="Calibri"/>
                <w:sz w:val="20"/>
              </w:rPr>
              <w:t>Düşük</w:t>
            </w:r>
          </w:p>
        </w:tc>
        <w:tc>
          <w:tcPr>
            <w:tcW w:type="dxa" w:w="1134"/>
          </w:tcPr>
          <w:p>
            <w:r/>
            <w:r>
              <w:rPr>
                <w:rFonts w:ascii="Calibri" w:hAnsi="Calibri"/>
                <w:sz w:val="20"/>
              </w:rPr>
              <w:t>Düşük</w:t>
            </w:r>
          </w:p>
        </w:tc>
        <w:tc>
          <w:tcPr>
            <w:tcW w:type="dxa" w:w="3402"/>
          </w:tcPr>
          <w:p>
            <w:r/>
            <w:r>
              <w:rPr>
                <w:rFonts w:ascii="Calibri" w:hAnsi="Calibri"/>
                <w:sz w:val="20"/>
              </w:rPr>
              <w:t>Halka açık veri olduğu için bildirim yeterli</w:t>
            </w:r>
          </w:p>
        </w:tc>
      </w:tr>
    </w:tbl>
    <w:p/>
    <w:p>
      <w:pPr>
        <w:pStyle w:val="Heading1"/>
      </w:pPr>
      <w:r>
        <w:rPr>
          <w:rFonts w:ascii="Calibri" w:hAnsi="Calibri"/>
          <w:color w:val="000000"/>
        </w:rPr>
        <w:t>9. Seçili Referanslar</w:t>
      </w:r>
    </w:p>
    <w:p>
      <w:pPr>
        <w:spacing w:after="80"/>
        <w:ind w:left="283" w:hanging="283"/>
      </w:pPr>
      <w:r>
        <w:rPr>
          <w:rFonts w:ascii="Calibri" w:hAnsi="Calibri"/>
          <w:sz w:val="20"/>
        </w:rPr>
        <w:t>[1] Koç U, Sezer EA, Özkaya YA, et al. Elevating healthcare through artificial intelligence: analyzing the abdominal emergencies data set (TR_ABDOMEN_RAD_EMERGENCY) at TEKNOFEST-2022. Eur Radiol 2024;34(6):3588-3597. doi:10.1007/s00330-023-10391-y</w:t>
      </w:r>
    </w:p>
    <w:p>
      <w:pPr>
        <w:spacing w:after="80"/>
        <w:ind w:left="283" w:hanging="283"/>
      </w:pPr>
      <w:r>
        <w:rPr>
          <w:rFonts w:ascii="Calibri" w:hAnsi="Calibri"/>
          <w:sz w:val="20"/>
        </w:rPr>
        <w:t>[2] Baumgartner M, Jaeger PF, Isensee F, Maier-Hein KH. nnDetection: A Self-Configuring Method for Medical Object Detection. MICCAI 2021. doi:10.1007/978-3-030-87240-3_51</w:t>
      </w:r>
    </w:p>
    <w:p>
      <w:pPr>
        <w:spacing w:after="80"/>
        <w:ind w:left="283" w:hanging="283"/>
      </w:pPr>
      <w:r>
        <w:rPr>
          <w:rFonts w:ascii="Calibri" w:hAnsi="Calibri"/>
          <w:sz w:val="20"/>
        </w:rPr>
        <w:t>[3] Isensee F, Jaeger PF, Kohl SAA, Petersen J, Maier-Hein KH. nnU-Net: a self-configuring method for deep learning-based biomedical image segmentation. Nat Methods 2021;18:203-211. doi:10.1038/s41592-020-01008-z</w:t>
      </w:r>
    </w:p>
    <w:p>
      <w:pPr>
        <w:spacing w:after="80"/>
        <w:ind w:left="283" w:hanging="283"/>
      </w:pPr>
      <w:r>
        <w:rPr>
          <w:rFonts w:ascii="Calibri" w:hAnsi="Calibri"/>
          <w:sz w:val="20"/>
        </w:rPr>
        <w:t>[4] Kıran HE. Deep Learning-Based Detection of Abdominal Diseases Using YOLOv9 Models and Advanced Preprocessing Techniques. Computers and Electronics in Medicine 2025;1:20-25. doi:10.69882/adba.cem.2025014</w:t>
      </w:r>
    </w:p>
    <w:p>
      <w:pPr>
        <w:spacing w:after="80"/>
        <w:ind w:left="283" w:hanging="283"/>
      </w:pPr>
      <w:r>
        <w:rPr>
          <w:rFonts w:ascii="Calibri" w:hAnsi="Calibri"/>
          <w:sz w:val="20"/>
        </w:rPr>
        <w:t>[5] Mongan J, Moy L, Kahn CE Jr. Checklist for Artificial Intelligence in Medical Imaging (CLAIM): A Guide for Authors and Reviewers. Radiol Artif Intell 2020;2(2):e200029.</w:t>
      </w:r>
    </w:p>
    <w:p>
      <w:pPr>
        <w:spacing w:after="80"/>
        <w:ind w:left="283" w:hanging="283"/>
      </w:pPr>
      <w:r>
        <w:rPr>
          <w:rFonts w:ascii="Calibri" w:hAnsi="Calibri"/>
          <w:sz w:val="20"/>
        </w:rPr>
        <w:t>[6] Bossuyt PM, Reitsma JB, Bruns DE, et al. STARD 2015: An Updated List of Essential Items for Reporting Diagnostic Accuracy Studies. Radiology 2015;277(3):826-832.</w:t>
      </w:r>
    </w:p>
    <w:p>
      <w:pPr>
        <w:spacing w:after="80"/>
        <w:ind w:left="283" w:hanging="283"/>
      </w:pPr>
      <w:r>
        <w:rPr>
          <w:rFonts w:ascii="Calibri" w:hAnsi="Calibri"/>
          <w:sz w:val="20"/>
        </w:rPr>
        <w:t>[7] Polat R. Karın Ağrısı için Bilgisayarlı Tomografide Yapay Zeka Uygulamaları: Çoklu Veritabanı Kapsam Belirleme İncelemesi (2021–2026). [Tarafımızca yürütülen scoping review, hazırlanmakta]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