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39.png" ContentType="image/png"/>
  <Override PartName="/word/media/rId41.png" ContentType="image/png"/>
  <Override PartName="/word/media/rId37.png" ContentType="image/png"/>
  <Override PartName="/word/media/rId49.png" ContentType="image/png"/>
  <Override PartName="/word/media/rId45.png" ContentType="image/png"/>
  <Override PartName="/customXml/itemProps1.xml" ContentType="application/vnd.openxmlformats-officedocument.customXmlProperties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815c31fc69ef1db7323425c638e082da0c0b6"/>
      <w:r>
        <w:t xml:space="preserve">Acil Abdominal BT Sınıflandırmasında Sınıf Dengesizliğinin Ele Alınması: WeightedRandomSampler, Sınıf-Başına Eşik Optimizasyonu ve 5-Katlı Doğrulama</w:t>
      </w:r>
      <w:bookmarkEnd w:id="20"/>
    </w:p>
    <w:p>
      <w:pPr>
        <w:pStyle w:val="FirstParagraph"/>
      </w:pPr>
      <w:r>
        <w:rPr>
          <w:b/>
        </w:rPr>
        <w:t xml:space="preserve">[Yazar Adları]</w:t>
      </w:r>
    </w:p>
    <w:p>
      <w:pPr>
        <w:pStyle w:val="BodyText"/>
      </w:pPr>
      <w:r>
        <w:t xml:space="preserve">[Kurum Adı], [Şehir], [Ülke]</w:t>
      </w:r>
    </w:p>
    <w:p>
      <w:pPr>
        <w:pStyle w:val="Heading2"/>
      </w:pPr>
      <w:bookmarkStart w:id="21" w:name="özet"/>
      <w:r>
        <w:t xml:space="preserve">Özet</w:t>
      </w:r>
      <w:bookmarkEnd w:id="21"/>
    </w:p>
    <w:p>
      <w:pPr>
        <w:pStyle w:val="FirstParagraph"/>
      </w:pPr>
      <w:r>
        <w:t xml:space="preserve">Acil abdominal BT bulgularının çok-etiketli sınıflandırması, belirgin sınıf dengesizliğiyle zorlaşmaktadır: aort diseksiyonu ve akut pankreatit gibi nadir patolojiler, sık görülen bulgulara göre çok daha az temsil edilir. Bu çalışmada iki aşamalı bir yaklaşım önerilmektedir: (1) ters-frekans ağırlıklı, kesit düzeyinde WeightedRandomSampler ile Focal-BCE kaybının birleşimi; ve (2) F1 skoru maksimizasyonuna dayalı, 51 aday üzerinden sınıf-başına karar eşiği optimizasyonu. Yöntem,</w:t>
      </w:r>
      <w:r>
        <w:t xml:space="preserve"> </w:t>
      </w:r>
      <w:r>
        <w:rPr>
          <w:b/>
        </w:rPr>
        <w:t xml:space="preserve">TR_Abdomen Rad_Emergency (Teknofest 2022)</w:t>
      </w:r>
      <w:r>
        <w:t xml:space="preserve"> </w:t>
      </w:r>
      <w:r>
        <w:t xml:space="preserve">veri kümesi üzerinde 5-katlı çapraz doğrulama ile sınanmış; altı mimari üzerinde omurga (backbone) ablasyonu ve güvenilirlik diyagramlarıyla kalibrasyon analizi yapılmıştır. Önerilen yöntem Top-5 Ortalama F1’i [taban] değerinden [bizimki] değerine yükseltmekte (5 kat üzerinde ortalama±std) ve en büyük kazanımları azınlık sınıflarında sağlamaktadır.</w:t>
      </w:r>
    </w:p>
    <w:p>
      <w:pPr>
        <w:pStyle w:val="BodyText"/>
      </w:pPr>
      <w:r>
        <w:rPr>
          <w:b/>
        </w:rPr>
        <w:t xml:space="preserve">Anahtar Kelimeler:</w:t>
      </w:r>
      <w:r>
        <w:t xml:space="preserve"> </w:t>
      </w:r>
      <w:r>
        <w:t xml:space="preserve">sınıf dengesizliği; çok-etiketli sınıflandırma; abdominal BT; ağırlıklı örnekleme; eşik ayarı; çapraz doğrulama; kalibrasyon</w:t>
      </w:r>
    </w:p>
    <w:p>
      <w:pPr>
        <w:pStyle w:val="Heading2"/>
      </w:pPr>
      <w:bookmarkStart w:id="22" w:name="giriş"/>
      <w:r>
        <w:t xml:space="preserve">1. Giriş</w:t>
      </w:r>
      <w:bookmarkEnd w:id="22"/>
    </w:p>
    <w:p>
      <w:pPr>
        <w:pStyle w:val="FirstParagraph"/>
      </w:pPr>
      <w:r>
        <w:t xml:space="preserve">Sınıf dengesizliği, tıbbi görüntü sınıflandırmasında yaygın bir zorluktur. Acil abdominal radyolojide patolojilerin sıklığı geniş ölçüde değişir: ürolitiyazis ve kolesistit görece sıkken, aort diseksiyonu ve akut pankreatit nadirdir </w:t>
      </w:r>
      <w:sdt>
        <w:sdtPr>
          <w:tag w:val="CITATION Ref10"/>
          <w:id w:val="1423960123"/>
          <w:citation/>
        </w:sdtPr>
        <w:sdtContent>
          <w:r>
            <w:fldChar w:fldCharType="begin"/>
          </w:r>
          <w:r>
            <w:instrText xml:space="preserve"> CITATION Ref10 \m Ref11 \l 1033 </w:instrText>
          </w:r>
          <w:r>
            <w:fldChar w:fldCharType="separate"/>
          </w:r>
          <w:r>
            <w:rPr>
              <w:noProof/>
            </w:rPr>
            <w:t xml:space="preserve">[10, 11]</w:t>
          </w:r>
          <w:r>
            <w:fldChar w:fldCharType="end"/>
          </w:r>
        </w:sdtContent>
      </w:sdt>
      <w:r>
        <w:t xml:space="preserve">. Standart çapraz-entropi eğitimi, modelin ağırlıklı olarak çoğunluk sınıfları için optimize olmasına ve azınlık sınıflarını yetersiz saptamasına yol açar. İncelenen literatürde çok-sınıflı abdominal BT sınıflandırma çalışmaları (ör. böbrek taşı çok-sınıflı sınıflandırması </w:t>
      </w:r>
      <w:sdt>
        <w:sdtPr>
          <w:tag w:val="CITATION Ref3"/>
          <w:id w:val="171211318"/>
          <w:citation/>
        </w:sdtPr>
        <w:sdtContent>
          <w:r>
            <w:fldChar w:fldCharType="begin"/>
          </w:r>
          <w:r>
            <w:instrText xml:space="preserve"> CITATION Ref3 \m Ref6 \l 1033 </w:instrText>
          </w:r>
          <w:r>
            <w:fldChar w:fldCharType="separate"/>
          </w:r>
          <w:r>
            <w:rPr>
              <w:noProof/>
            </w:rPr>
            <w:t xml:space="preserve">[3, 6]</w:t>
          </w:r>
          <w:r>
            <w:fldChar w:fldCharType="end"/>
          </w:r>
        </w:sdtContent>
      </w:sdt>
      <w:r>
        <w:t xml:space="preserve">, görme dönüştürücü/CNN karşılaştırmaları </w:t>
      </w:r>
      <w:sdt>
        <w:sdtPr>
          <w:tag w:val="CITATION Ref4"/>
          <w:id w:val="1636644119"/>
          <w:citation/>
        </w:sdtPr>
        <w:sdtContent>
          <w:r>
            <w:fldChar w:fldCharType="begin"/>
          </w:r>
          <w:r>
            <w:instrText xml:space="preserve"> CITATION Ref4 \m Ref5 \l 1033 </w:instrText>
          </w:r>
          <w:r>
            <w:fldChar w:fldCharType="separate"/>
          </w:r>
          <w:r>
            <w:rPr>
              <w:noProof/>
            </w:rPr>
            <w:t xml:space="preserve">[4, 5]</w:t>
          </w:r>
          <w:r>
            <w:fldChar w:fldCharType="end"/>
          </w:r>
        </w:sdtContent>
      </w:sdt>
      <w:r>
        <w:t xml:space="preserve"> ve çoklu-patoloji saptama </w:t>
      </w:r>
      <w:sdt>
        <w:sdtPr>
          <w:tag w:val="CITATION Ref13"/>
          <w:id w:val="385641880"/>
          <w:citation/>
        </w:sdtPr>
        <w:sdtContent>
          <w:r>
            <w:fldChar w:fldCharType="begin"/>
          </w:r>
          <w:r>
            <w:instrText xml:space="preserve"> CITATION Ref13 \l 1033 </w:instrText>
          </w:r>
          <w:r>
            <w:fldChar w:fldCharType="separate"/>
          </w:r>
          <w:r>
            <w:rPr>
              <w:noProof/>
            </w:rPr>
            <w:t xml:space="preserve">[13]</w:t>
          </w:r>
          <w:r>
            <w:fldChar w:fldCharType="end"/>
          </w:r>
        </w:sdtContent>
      </w:sdt>
      <w:r>
        <w:t xml:space="preserve">) hızla artmakta; ancak dengesizliğin sistematik biçimde ele alınması sınırlı kalmaktadır.</w:t>
      </w:r>
    </w:p>
    <w:p>
      <w:pPr>
        <w:pStyle w:val="BodyText"/>
      </w:pPr>
      <w:r>
        <w:t xml:space="preserve">Bu çalışmada dengesizlik iki tamamlayıcı düzeyde ele alınmaktadır: (1)</w:t>
      </w:r>
      <w:r>
        <w:t xml:space="preserve"> </w:t>
      </w:r>
      <w:r>
        <w:rPr>
          <w:b/>
        </w:rPr>
        <w:t xml:space="preserve">örnekleme düzeyinde</w:t>
      </w:r>
      <w:r>
        <w:t xml:space="preserve">, kesit düzeyinde WeightedRandomSampler ile; ve (2)</w:t>
      </w:r>
      <w:r>
        <w:t xml:space="preserve"> </w:t>
      </w:r>
      <w:r>
        <w:rPr>
          <w:b/>
        </w:rPr>
        <w:t xml:space="preserve">karar düzeyinde</w:t>
      </w:r>
      <w:r>
        <w:t xml:space="preserve">, sınıf-başına eşik optimizasyonu ile. Ayrıca model kalibrasyonu analiz edilmekte ve raporlanan kazanımların istatistiksel güvenilirliğini sağlamak için 5-katlı çapraz doğrulama uygulanmaktadır.</w:t>
      </w:r>
    </w:p>
    <w:p>
      <w:pPr>
        <w:pStyle w:val="Heading2"/>
      </w:pPr>
      <w:bookmarkStart w:id="23" w:name="ilgili-çalışmalar"/>
      <w:r>
        <w:t xml:space="preserve">2. İlgili Çalışmalar</w:t>
      </w:r>
      <w:bookmarkEnd w:id="23"/>
    </w:p>
    <w:p>
      <w:pPr>
        <w:pStyle w:val="Heading3"/>
      </w:pPr>
      <w:bookmarkStart w:id="24" w:name="tıbbi-görüntülemede-sınıf-dengesizliği"/>
      <w:r>
        <w:t xml:space="preserve">2.1 Tıbbi Görüntülemede Sınıf Dengesizliği</w:t>
      </w:r>
      <w:bookmarkEnd w:id="24"/>
    </w:p>
    <w:p>
      <w:pPr>
        <w:pStyle w:val="FirstParagraph"/>
      </w:pPr>
      <w:r>
        <w:t xml:space="preserve">Dengesizlikle mücadelede aşırı/eksik örnekleme, sınıf ağırlıkları ve odak kaybı (focal loss) </w:t>
      </w:r>
      <w:sdt>
        <w:sdtPr>
          <w:tag w:val="CITATION Ref14"/>
          <w:id w:val="1610767886"/>
          <w:citation/>
        </w:sdtPr>
        <w:sdtContent>
          <w:r>
            <w:fldChar w:fldCharType="begin"/>
          </w:r>
          <w:r>
            <w:instrText xml:space="preserve"> CITATION Ref14 \l 1033 </w:instrText>
          </w:r>
          <w:r>
            <w:fldChar w:fldCharType="separate"/>
          </w:r>
          <w:r>
            <w:rPr>
              <w:noProof/>
            </w:rPr>
            <w:t xml:space="preserve">[14]</w:t>
          </w:r>
          <w:r>
            <w:fldChar w:fldCharType="end"/>
          </w:r>
        </w:sdtContent>
      </w:sdt>
      <w:r>
        <w:t xml:space="preserve"> gibi yöntemler yaygındır. Abdominal BT’de çok-sınıflı böbrek taşı/kist/tümör sınıflandırması </w:t>
      </w:r>
      <w:sdt>
        <w:sdtPr>
          <w:tag w:val="CITATION Ref3"/>
          <w:id w:val="1204540545"/>
          <w:citation/>
        </w:sdtPr>
        <w:sdtContent>
          <w:r>
            <w:fldChar w:fldCharType="begin"/>
          </w:r>
          <w:r>
            <w:instrText xml:space="preserve"> CITATION Ref3 \m Ref6 \l 1033 </w:instrText>
          </w:r>
          <w:r>
            <w:fldChar w:fldCharType="separate"/>
          </w:r>
          <w:r>
            <w:rPr>
              <w:noProof/>
            </w:rPr>
            <w:t xml:space="preserve">[3, 6]</w:t>
          </w:r>
          <w:r>
            <w:fldChar w:fldCharType="end"/>
          </w:r>
        </w:sdtContent>
      </w:sdt>
      <w:r>
        <w:t xml:space="preserve">, hibrit derin öğrenme </w:t>
      </w:r>
      <w:sdt>
        <w:sdtPr>
          <w:tag w:val="CITATION Ref1"/>
          <w:id w:val="1390551349"/>
          <w:citation/>
        </w:sdtPr>
        <w:sdtContent>
          <w:r>
            <w:fldChar w:fldCharType="begin"/>
          </w:r>
          <w:r>
            <w:instrText xml:space="preserve"> CITATION Ref1 \l 1033 </w:instrText>
          </w:r>
          <w:r>
            <w:fldChar w:fldCharType="separate"/>
          </w:r>
          <w:r>
            <w:rPr>
              <w:noProof/>
            </w:rPr>
            <w:t xml:space="preserve">[1]</w:t>
          </w:r>
          <w:r>
            <w:fldChar w:fldCharType="end"/>
          </w:r>
        </w:sdtContent>
      </w:sdt>
      <w:r>
        <w:t xml:space="preserve"> ve YOLO ailesi gerçek-zamanlı saptayıcılar </w:t>
      </w:r>
      <w:sdt>
        <w:sdtPr>
          <w:tag w:val="CITATION Ref7"/>
          <w:id w:val="1911036239"/>
          <w:citation/>
        </w:sdtPr>
        <w:sdtContent>
          <w:r>
            <w:fldChar w:fldCharType="begin"/>
          </w:r>
          <w:r>
            <w:instrText xml:space="preserve"> CITATION Ref7 \l 1033 </w:instrText>
          </w:r>
          <w:r>
            <w:fldChar w:fldCharType="separate"/>
          </w:r>
          <w:r>
            <w:rPr>
              <w:noProof/>
            </w:rPr>
            <w:t xml:space="preserve">[7]</w:t>
          </w:r>
          <w:r>
            <w:fldChar w:fldCharType="end"/>
          </w:r>
        </w:sdtContent>
      </w:sdt>
      <w:r>
        <w:t xml:space="preserve"> sıklıkla sınıf dengesizliğiyle başa çıkmak için topluluk ve ağırlıklandırma stratejileri kullanır. Nadir patolojiler (aort sendromu </w:t>
      </w:r>
      <w:sdt>
        <w:sdtPr>
          <w:tag w:val="CITATION Ref10"/>
          <w:id w:val="115949650"/>
          <w:citation/>
        </w:sdtPr>
        <w:sdtContent>
          <w:r>
            <w:fldChar w:fldCharType="begin"/>
          </w:r>
          <w:r>
            <w:instrText xml:space="preserve"> CITATION Ref10 \l 1033 </w:instrText>
          </w:r>
          <w:r>
            <w:fldChar w:fldCharType="separate"/>
          </w:r>
          <w:r>
            <w:rPr>
              <w:noProof/>
            </w:rPr>
            <w:t xml:space="preserve">[10]</w:t>
          </w:r>
          <w:r>
            <w:fldChar w:fldCharType="end"/>
          </w:r>
        </w:sdtContent>
      </w:sdt>
      <w:r>
        <w:t xml:space="preserve">, şiddetli pankreatit </w:t>
      </w:r>
      <w:sdt>
        <w:sdtPr>
          <w:tag w:val="CITATION Ref11"/>
          <w:id w:val="1608432827"/>
          <w:citation/>
        </w:sdtPr>
        <w:sdtContent>
          <w:r>
            <w:fldChar w:fldCharType="begin"/>
          </w:r>
          <w:r>
            <w:instrText xml:space="preserve"> CITATION Ref11 \l 1033 </w:instrText>
          </w:r>
          <w:r>
            <w:fldChar w:fldCharType="separate"/>
          </w:r>
          <w:r>
            <w:rPr>
              <w:noProof/>
            </w:rPr>
            <w:t xml:space="preserve">[11]</w:t>
          </w:r>
          <w:r>
            <w:fldChar w:fldCharType="end"/>
          </w:r>
        </w:sdtContent>
      </w:sdt>
      <w:r>
        <w:t xml:space="preserve">) için azınlık-sınıf başarımı temel kısıttır.</w:t>
      </w:r>
    </w:p>
    <w:p>
      <w:pPr>
        <w:pStyle w:val="Heading3"/>
      </w:pPr>
      <w:bookmarkStart w:id="25" w:name="X02b646dfc4787d1ecdf0a88f2dc7788b0ca604f"/>
      <w:r>
        <w:t xml:space="preserve">2.2 Çok-Etiketli Tıbbi Görüntü Sınıflandırması</w:t>
      </w:r>
      <w:bookmarkEnd w:id="25"/>
    </w:p>
    <w:p>
      <w:pPr>
        <w:pStyle w:val="FirstParagraph"/>
      </w:pPr>
      <w:r>
        <w:t xml:space="preserve">Çok-etiketli sınıflandırma, bir görüntüde birlikte bulunan birden fazla patolojiyi öngörmeyi gerektirir. Abdominal BT’de çok-patolojili karar destek yaklaşımları </w:t>
      </w:r>
      <w:sdt>
        <w:sdtPr>
          <w:tag w:val="CITATION Ref13"/>
          <w:id w:val="1349394735"/>
          <w:citation/>
        </w:sdtPr>
        <w:sdtContent>
          <w:r>
            <w:fldChar w:fldCharType="begin"/>
          </w:r>
          <w:r>
            <w:instrText xml:space="preserve"> CITATION Ref13 \l 1033 </w:instrText>
          </w:r>
          <w:r>
            <w:fldChar w:fldCharType="separate"/>
          </w:r>
          <w:r>
            <w:rPr>
              <w:noProof/>
            </w:rPr>
            <w:t xml:space="preserve">[13]</w:t>
          </w:r>
          <w:r>
            <w:fldChar w:fldCharType="end"/>
          </w:r>
        </w:sdtContent>
      </w:sdt>
      <w:r>
        <w:t xml:space="preserve"> ve görme dönüştürücü temelli çok-sınıflı modeller </w:t>
      </w:r>
      <w:sdt>
        <w:sdtPr>
          <w:tag w:val="CITATION Ref2"/>
          <w:id w:val="43978758"/>
          <w:citation/>
        </w:sdtPr>
        <w:sdtContent>
          <w:r>
            <w:fldChar w:fldCharType="begin"/>
          </w:r>
          <w:r>
            <w:instrText xml:space="preserve"> CITATION Ref2 \m Ref4 \m Ref5 \l 1033 </w:instrText>
          </w:r>
          <w:r>
            <w:fldChar w:fldCharType="separate"/>
          </w:r>
          <w:r>
            <w:rPr>
              <w:noProof/>
            </w:rPr>
            <w:t xml:space="preserve">[2, 4, 5]</w:t>
          </w:r>
          <w:r>
            <w:fldChar w:fldCharType="end"/>
          </w:r>
        </w:sdtContent>
      </w:sdt>
      <w:r>
        <w:t xml:space="preserve"> eş-zamanlı bulgu öngörüsünü hedefler. Bu çalışmalar, etiket korelasyonu ve eş-oluşum (co-occurrence) sorunlarının dengesizlikle birleştiğinde başarımı düşürdüğünü göstermektedir.</w:t>
      </w:r>
    </w:p>
    <w:p>
      <w:pPr>
        <w:pStyle w:val="Heading3"/>
      </w:pPr>
      <w:bookmarkStart w:id="26" w:name="eşik-optimizasyonu-ve-kalibrasyon"/>
      <w:r>
        <w:t xml:space="preserve">2.3 Eşik Optimizasyonu ve Kalibrasyon</w:t>
      </w:r>
      <w:bookmarkEnd w:id="26"/>
    </w:p>
    <w:p>
      <w:pPr>
        <w:pStyle w:val="FirstParagraph"/>
      </w:pPr>
      <w:r>
        <w:t xml:space="preserve">Dengesiz çok-etiketli problemlerde sabit 0,5 eşiği genellikle alt-optimaldir; sınıf-başına eşik araması azınlık sınıflar için çalışma noktasını iyileştirir. Modern sinir ağlarının kalibrasyonu (güven-doğruluk uyumu) klinik dağıtım için kritiktir </w:t>
      </w:r>
      <w:sdt>
        <w:sdtPr>
          <w:tag w:val="CITATION Ref19"/>
          <w:id w:val="985184897"/>
          <w:citation/>
        </w:sdtPr>
        <w:sdtContent>
          <w:r>
            <w:fldChar w:fldCharType="begin"/>
          </w:r>
          <w:r>
            <w:instrText xml:space="preserve"> CITATION Ref19 \l 1033 </w:instrText>
          </w:r>
          <w:r>
            <w:fldChar w:fldCharType="separate"/>
          </w:r>
          <w:r>
            <w:rPr>
              <w:noProof/>
            </w:rPr>
            <w:t xml:space="preserve">[19]</w:t>
          </w:r>
          <w:r>
            <w:fldChar w:fldCharType="end"/>
          </w:r>
        </w:sdtContent>
      </w:sdt>
      <w:r>
        <w:t xml:space="preserve">. Çok-merkezli doğrulama </w:t>
      </w:r>
      <w:sdt>
        <w:sdtPr>
          <w:tag w:val="CITATION Ref8"/>
          <w:id w:val="1903201369"/>
          <w:citation/>
        </w:sdtPr>
        <w:sdtContent>
          <w:r>
            <w:fldChar w:fldCharType="begin"/>
          </w:r>
          <w:r>
            <w:instrText xml:space="preserve"> CITATION Ref8 \l 1033 </w:instrText>
          </w:r>
          <w:r>
            <w:fldChar w:fldCharType="separate"/>
          </w:r>
          <w:r>
            <w:rPr>
              <w:noProof/>
            </w:rPr>
            <w:t xml:space="preserve">[8]</w:t>
          </w:r>
          <w:r>
            <w:fldChar w:fldCharType="end"/>
          </w:r>
        </w:sdtContent>
      </w:sdt>
      <w:r>
        <w:t xml:space="preserve"> ve harici geçerlilik </w:t>
      </w:r>
      <w:sdt>
        <w:sdtPr>
          <w:tag w:val="CITATION Ref10"/>
          <w:id w:val="1730262077"/>
          <w:citation/>
        </w:sdtPr>
        <w:sdtContent>
          <w:r>
            <w:fldChar w:fldCharType="begin"/>
          </w:r>
          <w:r>
            <w:instrText xml:space="preserve"> CITATION Ref10 \m Ref12 \l 1033 </w:instrText>
          </w:r>
          <w:r>
            <w:fldChar w:fldCharType="separate"/>
          </w:r>
          <w:r>
            <w:rPr>
              <w:noProof/>
            </w:rPr>
            <w:t xml:space="preserve">[10, 12]</w:t>
          </w:r>
          <w:r>
            <w:fldChar w:fldCharType="end"/>
          </w:r>
        </w:sdtContent>
      </w:sdt>
      <w:r>
        <w:t xml:space="preserve"> de raporlanan kazanımların güvenilirliği açısından önemlidir.</w:t>
      </w:r>
    </w:p>
    <w:p>
      <w:pPr>
        <w:pStyle w:val="Heading2"/>
      </w:pPr>
      <w:bookmarkStart w:id="27" w:name="yöntem"/>
      <w:r>
        <w:t xml:space="preserve">3. Yöntem</w:t>
      </w:r>
      <w:bookmarkEnd w:id="27"/>
    </w:p>
    <w:p>
      <w:pPr>
        <w:pStyle w:val="Heading3"/>
      </w:pPr>
      <w:bookmarkStart w:id="28" w:name="problem-formülasyonu"/>
      <w:r>
        <w:t xml:space="preserve">3.1 Problem Formülasyonu</w:t>
      </w:r>
      <w:bookmarkEnd w:id="28"/>
    </w:p>
    <w:p>
      <w:pPr>
        <w:pStyle w:val="FirstParagraph"/>
      </w:pPr>
      <w:r>
        <w:t xml:space="preserve">Bir BT kesiti x ∈ R^(H×W×3) verildiğinde, C=6 olmak üzere ikili bir vektör y ∈ {0,1}^C öngörülür. Model f_θ → </w:t>
      </w:r>
      <w:sdt>
        <w:sdtPr>
          <w:tag w:val="CITATION Ref0"/>
          <w:id w:val="1961372070"/>
          <w:citation/>
        </w:sdtPr>
        <w:sdtContent>
          <w:r>
            <w:fldChar w:fldCharType="begin"/>
          </w:r>
          <w:r>
            <w:instrText xml:space="preserve"> CITATION Ref0 \m Ref1 \l 1033 </w:instrText>
          </w:r>
          <w:r>
            <w:fldChar w:fldCharType="separate"/>
          </w:r>
          <w:r>
            <w:rPr>
              <w:noProof/>
            </w:rPr>
            <w:t xml:space="preserve">[0, 1]</w:t>
          </w:r>
          <w:r>
            <w:fldChar w:fldCharType="end"/>
          </w:r>
        </w:sdtContent>
      </w:sdt>
      <w:r>
        <w:t xml:space="preserve">^C, sigmoid-etkinleştirilmiş çıktıları sınıf-başına eşiklenir: ŷ_c = 1 (eğer f_θ(x)_c ≥ τ_c) aksi hâlde 0.</w:t>
      </w:r>
    </w:p>
    <w:p>
      <w:pPr>
        <w:pStyle w:val="Heading3"/>
      </w:pPr>
      <w:bookmarkStart w:id="29" w:name="ters-frekans-weightedrandomsampler"/>
      <w:r>
        <w:t xml:space="preserve">3.2 Ters-Frekans WeightedRandomSampler</w:t>
      </w:r>
      <w:bookmarkEnd w:id="29"/>
    </w:p>
    <w:p>
      <w:pPr>
        <w:pStyle w:val="FirstParagraph"/>
      </w:pPr>
      <w:r>
        <w:t xml:space="preserve">n_c, c sınıfını içeren kesit sayısı olsun. Kesit i için: w_i = max_c (y_{i,c} / n_c). PyTorch WeightedRandomSampler, partileri w_i ile orantılı çeker; böylece parti başına yaklaşık dengeli sınıf temsili sağlanır.</w:t>
      </w:r>
    </w:p>
    <w:p>
      <w:pPr>
        <w:pStyle w:val="Heading3"/>
      </w:pPr>
      <w:bookmarkStart w:id="30" w:name="focal-bce-kaybı"/>
      <w:r>
        <w:t xml:space="preserve">3.3 Focal-BCE Kaybı</w:t>
      </w:r>
      <w:bookmarkEnd w:id="30"/>
    </w:p>
    <w:p>
      <w:pPr>
        <w:pStyle w:val="FirstParagraph"/>
      </w:pPr>
      <w:r>
        <w:t xml:space="preserve">γ=2 ve α=0,25 ile Focal İkili Çapraz-Entropi, kolay örnekleri aşağı ağırlıklandırır ve eğitimi zor/yanlış sınıflanan örneklere odaklayarak örnekleyiciyi tamamlar </w:t>
      </w:r>
      <w:sdt>
        <w:sdtPr>
          <w:tag w:val="CITATION Ref14"/>
          <w:id w:val="1705404810"/>
          <w:citation/>
        </w:sdtPr>
        <w:sdtContent>
          <w:r>
            <w:fldChar w:fldCharType="begin"/>
          </w:r>
          <w:r>
            <w:instrText xml:space="preserve"> CITATION Ref14 \l 1033 </w:instrText>
          </w:r>
          <w:r>
            <w:fldChar w:fldCharType="separate"/>
          </w:r>
          <w:r>
            <w:rPr>
              <w:noProof/>
            </w:rPr>
            <w:t xml:space="preserve">[14]</w:t>
          </w:r>
          <w:r>
            <w:fldChar w:fldCharType="end"/>
          </w:r>
        </w:sdtContent>
      </w:sdt>
      <w:r>
        <w:t xml:space="preserve">.</w:t>
      </w:r>
    </w:p>
    <w:p>
      <w:pPr>
        <w:pStyle w:val="Heading3"/>
      </w:pPr>
      <w:bookmarkStart w:id="31" w:name="sınıf-başına-eşik-optimizasyonu"/>
      <w:r>
        <w:t xml:space="preserve">3.4 Sınıf-Başına Eşik Optimizasyonu</w:t>
      </w:r>
      <w:bookmarkEnd w:id="31"/>
    </w:p>
    <w:p>
      <w:pPr>
        <w:pStyle w:val="FirstParagraph"/>
      </w:pPr>
      <w:r>
        <w:t xml:space="preserve">Eğitim sonrası, sınıf-başına eşikler τ_c doğrulama kümesinde optimize edilir: τ*</w:t>
      </w:r>
      <w:r>
        <w:rPr>
          <w:i/>
        </w:rPr>
        <w:t xml:space="preserve">c = argmax</w:t>
      </w:r>
      <w:r>
        <w:t xml:space="preserve">{τ∈[0,05; 0,95]} F1_c(τ), 51 aday değerde değerlendirilir. Bu son-işlem adımı yeniden eğitim gerektirmez.</w:t>
      </w:r>
    </w:p>
    <w:p>
      <w:pPr>
        <w:pStyle w:val="Heading3"/>
      </w:pPr>
      <w:bookmarkStart w:id="32" w:name="omurga-mimarileri"/>
      <w:r>
        <w:t xml:space="preserve">3.5 Omurga Mimarileri</w:t>
      </w:r>
      <w:bookmarkEnd w:id="32"/>
    </w:p>
    <w:p>
      <w:pPr>
        <w:pStyle w:val="FirstParagraph"/>
      </w:pPr>
      <w:r>
        <w:t xml:space="preserve">Altı omurga mimarisi değerlendirilir: Swin-Base </w:t>
      </w:r>
      <w:sdt>
        <w:sdtPr>
          <w:tag w:val="CITATION Ref15"/>
          <w:id w:val="724812045"/>
          <w:citation/>
        </w:sdtPr>
        <w:sdtContent>
          <w:r>
            <w:fldChar w:fldCharType="begin"/>
          </w:r>
          <w:r>
            <w:instrText xml:space="preserve"> CITATION Ref15 \l 1033 </w:instrText>
          </w:r>
          <w:r>
            <w:fldChar w:fldCharType="separate"/>
          </w:r>
          <w:r>
            <w:rPr>
              <w:noProof/>
            </w:rPr>
            <w:t xml:space="preserve">[15]</w:t>
          </w:r>
          <w:r>
            <w:fldChar w:fldCharType="end"/>
          </w:r>
        </w:sdtContent>
      </w:sdt>
      <w:r>
        <w:t xml:space="preserve">, ConvNeXt-Base, ConvNeXtV2-Base </w:t>
      </w:r>
      <w:sdt>
        <w:sdtPr>
          <w:tag w:val="CITATION Ref16"/>
          <w:id w:val="1687819952"/>
          <w:citation/>
        </w:sdtPr>
        <w:sdtContent>
          <w:r>
            <w:fldChar w:fldCharType="begin"/>
          </w:r>
          <w:r>
            <w:instrText xml:space="preserve"> CITATION Ref16 \l 1033 </w:instrText>
          </w:r>
          <w:r>
            <w:fldChar w:fldCharType="separate"/>
          </w:r>
          <w:r>
            <w:rPr>
              <w:noProof/>
            </w:rPr>
            <w:t xml:space="preserve">[16]</w:t>
          </w:r>
          <w:r>
            <w:fldChar w:fldCharType="end"/>
          </w:r>
        </w:sdtContent>
      </w:sdt>
      <w:r>
        <w:t xml:space="preserve">, ViT-Base/16, DINOv2-Base </w:t>
      </w:r>
      <w:sdt>
        <w:sdtPr>
          <w:tag w:val="CITATION Ref17"/>
          <w:id w:val="802358616"/>
          <w:citation/>
        </w:sdtPr>
        <w:sdtContent>
          <w:r>
            <w:fldChar w:fldCharType="begin"/>
          </w:r>
          <w:r>
            <w:instrText xml:space="preserve"> CITATION Ref17 \l 1033 </w:instrText>
          </w:r>
          <w:r>
            <w:fldChar w:fldCharType="separate"/>
          </w:r>
          <w:r>
            <w:rPr>
              <w:noProof/>
            </w:rPr>
            <w:t xml:space="preserve">[17]</w:t>
          </w:r>
          <w:r>
            <w:fldChar w:fldCharType="end"/>
          </w:r>
        </w:sdtContent>
      </w:sdt>
      <w:r>
        <w:t xml:space="preserve"> ve EVA02-Base </w:t>
      </w:r>
      <w:sdt>
        <w:sdtPr>
          <w:tag w:val="CITATION Ref18"/>
          <w:id w:val="707285610"/>
          <w:citation/>
        </w:sdtPr>
        <w:sdtContent>
          <w:r>
            <w:fldChar w:fldCharType="begin"/>
          </w:r>
          <w:r>
            <w:instrText xml:space="preserve"> CITATION Ref18 \l 1033 </w:instrText>
          </w:r>
          <w:r>
            <w:fldChar w:fldCharType="separate"/>
          </w:r>
          <w:r>
            <w:rPr>
              <w:noProof/>
            </w:rPr>
            <w:t xml:space="preserve">[18]</w:t>
          </w:r>
          <w:r>
            <w:fldChar w:fldCharType="end"/>
          </w:r>
        </w:sdtContent>
      </w:sdt>
      <w:r>
        <w:t xml:space="preserve">; tümü ImageNet-22K üzerinde ön-eğitilip uçtan uca ince-ayarlanmıştır.</w:t>
      </w:r>
    </w:p>
    <w:p>
      <w:pPr>
        <w:pStyle w:val="Heading2"/>
      </w:pPr>
      <w:bookmarkStart w:id="33" w:name="deneyler"/>
      <w:r>
        <w:t xml:space="preserve">4. Deneyler</w:t>
      </w:r>
      <w:bookmarkEnd w:id="33"/>
    </w:p>
    <w:p>
      <w:pPr>
        <w:pStyle w:val="Heading3"/>
      </w:pPr>
      <w:bookmarkStart w:id="34" w:name="veri-seti-ve-değerlendirme"/>
      <w:r>
        <w:t xml:space="preserve">4.1 Veri Seti ve Değerlendirme</w:t>
      </w:r>
      <w:bookmarkEnd w:id="34"/>
    </w:p>
    <w:p>
      <w:pPr>
        <w:pStyle w:val="FirstParagraph"/>
      </w:pPr>
      <w:r>
        <w:t xml:space="preserve">Bu çalışmada</w:t>
      </w:r>
      <w:r>
        <w:t xml:space="preserve"> </w:t>
      </w:r>
      <w:r>
        <w:rPr>
          <w:b/>
        </w:rPr>
        <w:t xml:space="preserve">TR_Abdomen Rad_Emergency Veri Seti (Teknofest 2022)</w:t>
      </w:r>
      <w:r>
        <w:t xml:space="preserve"> </w:t>
      </w:r>
      <w:r>
        <w:t xml:space="preserve">kullanılmıştır </w:t>
      </w:r>
      <w:sdt>
        <w:sdtPr>
          <w:tag w:val="CITATION Ref20"/>
          <w:id w:val="96592747"/>
          <w:citation/>
        </w:sdtPr>
        <w:sdtContent>
          <w:r>
            <w:fldChar w:fldCharType="begin"/>
          </w:r>
          <w:r>
            <w:instrText xml:space="preserve"> CITATION Ref20 \l 1033 </w:instrText>
          </w:r>
          <w:r>
            <w:fldChar w:fldCharType="separate"/>
          </w:r>
          <w:r>
            <w:rPr>
              <w:noProof/>
            </w:rPr>
            <w:t xml:space="preserve">[20]</w:t>
          </w:r>
          <w:r>
            <w:fldChar w:fldCharType="end"/>
          </w:r>
        </w:sdtContent>
      </w:sdt>
      <w:r>
        <w:t xml:space="preserve">; veri seti altı acil abdominal patoloji üst-sınıfı için abdominal BT taramaları ve uzman anotasyonları içerir. Birincil metrik Top-5 Ortalama F1’dir (IoU eşikleri 0,1–0,9 üzerinde ortalama F1). Çapraz doğrulama için sonuçlar 5 kat üzerinde ortalama ± std olarak raporlanır.</w:t>
      </w:r>
    </w:p>
    <w:p>
      <w:pPr>
        <w:pStyle w:val="Heading3"/>
      </w:pPr>
      <w:bookmarkStart w:id="35" w:name="eğitim-yapılandırması"/>
      <w:r>
        <w:t xml:space="preserve">4.2 Eğitim Yapılandırması</w:t>
      </w:r>
      <w:bookmarkEnd w:id="35"/>
    </w:p>
    <w:p>
      <w:pPr>
        <w:pStyle w:val="FirstParagraph"/>
      </w:pPr>
      <w:r>
        <w:t xml:space="preserve">AdamW (lr=2e-4, weight_decay=1e-4), kosinüs LR çizelgesi, parti boyutu 16, 50 epok, girdi boyutu 384×384, standart ImageNet normalizasyonu. Veri artırma: rastgele yatay çevirme, renk titreşimi, ±15° döndürme.</w:t>
      </w:r>
    </w:p>
    <w:p>
      <w:pPr>
        <w:pStyle w:val="Heading3"/>
      </w:pPr>
      <w:bookmarkStart w:id="36" w:name="ablasyon-kayıp-ve-örnekleyici-fold-0"/>
      <w:r>
        <w:t xml:space="preserve">4.3 Ablasyon: Kayıp ve Örnekleyici (Fold 0)</w:t>
      </w:r>
      <w:bookmarkEnd w:id="36"/>
    </w:p>
    <w:p>
      <w:pPr>
        <w:pStyle w:val="FirstParagraph"/>
      </w:pPr>
      <w:r>
        <w:t xml:space="preserve">Tablo 1 ve Şekil 1, fold 0 üzerinde dört yapılandırmada artımlı ablasyonu gösterir. Her bileşen, bireysel katkısını nicelemek için izole edilmiştir.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Yapılandırma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Böbrek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Pank.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Apnd.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Top-5 Ort.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Taban (BCE)</w:t>
            </w:r>
          </w:p>
        </w:tc>
        <w:tc>
          <w:p>
            <w:pPr>
              <w:pStyle w:val="Compact"/>
              <w:jc w:val="left"/>
            </w:pPr>
            <w:r>
              <w:t xml:space="preserve">0,58</w:t>
            </w:r>
          </w:p>
        </w:tc>
        <w:tc>
          <w:p>
            <w:pPr>
              <w:pStyle w:val="Compact"/>
              <w:jc w:val="left"/>
            </w:pPr>
            <w:r>
              <w:t xml:space="preserve">0,59</w:t>
            </w:r>
          </w:p>
        </w:tc>
        <w:tc>
          <w:p>
            <w:pPr>
              <w:pStyle w:val="Compact"/>
              <w:jc w:val="left"/>
            </w:pPr>
            <w:r>
              <w:t xml:space="preserve">0,60</w:t>
            </w:r>
          </w:p>
        </w:tc>
        <w:tc>
          <w:p>
            <w:pPr>
              <w:pStyle w:val="Compact"/>
              <w:jc w:val="left"/>
            </w:pPr>
            <w:r>
              <w:t xml:space="preserve">0,61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</w:t>
            </w:r>
          </w:p>
        </w:tc>
        <w:tc>
          <w:p>
            <w:pPr>
              <w:pStyle w:val="Compact"/>
              <w:jc w:val="left"/>
            </w:pPr>
            <w:r>
              <w:t xml:space="preserve">0,61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 + WeightedSampler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p>
            <w:pPr>
              <w:pStyle w:val="Compact"/>
              <w:jc w:val="left"/>
            </w:pPr>
            <w:r>
              <w:t xml:space="preserve">0,69</w:t>
            </w:r>
          </w:p>
        </w:tc>
        <w:tc>
          <w:p>
            <w:pPr>
              <w:pStyle w:val="Compact"/>
              <w:jc w:val="left"/>
            </w:pPr>
            <w:r>
              <w:t xml:space="preserve">0,683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 + Sampler + EşikAyarı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0,68</w:t>
            </w:r>
          </w:p>
        </w:tc>
        <w:tc>
          <w:p>
            <w:pPr>
              <w:pStyle w:val="Compact"/>
              <w:jc w:val="left"/>
            </w:pPr>
            <w:r>
              <w:t xml:space="preserve">0,69</w:t>
            </w:r>
          </w:p>
        </w:tc>
        <w:tc>
          <w:p>
            <w:pPr>
              <w:pStyle w:val="Compact"/>
              <w:jc w:val="left"/>
            </w:pPr>
            <w:r>
              <w:t xml:space="preserve">0,70</w:t>
            </w:r>
          </w:p>
        </w:tc>
        <w:tc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p>
            <w:pPr>
              <w:pStyle w:val="Compact"/>
              <w:jc w:val="left"/>
            </w:pPr>
            <w:r>
              <w:t xml:space="preserve">0,72</w:t>
            </w:r>
          </w:p>
        </w:tc>
        <w:tc>
          <w:p>
            <w:pPr>
              <w:pStyle w:val="Compact"/>
              <w:jc w:val="left"/>
            </w:pPr>
            <w:r>
              <w:t xml:space="preserve">0,712</w:t>
            </w:r>
          </w:p>
        </w:tc>
      </w:tr>
    </w:tbl>
    <w:p>
      <w:pPr>
        <w:pStyle w:val="BodyText"/>
      </w:pPr>
      <w:r>
        <w:rPr>
          <w:b/>
        </w:rPr>
        <w:t xml:space="preserve">Tablo 1.</w:t>
      </w:r>
      <w:r>
        <w:t xml:space="preserve"> </w:t>
      </w:r>
      <w:r>
        <w:t xml:space="preserve">Ablasyon çalışması: kayıp fonksiyonu, WeightedRandomSampler ve sınıf-başına eşik ayarının Top-5 Ortalama F1 üzerindeki etkisi (fold 0).</w:t>
      </w:r>
    </w:p>
    <w:p>
      <w:pPr>
        <w:pStyle w:val="CaptionedFigure"/>
      </w:pPr>
      <w:r>
        <w:drawing>
          <wp:inline>
            <wp:extent cx="5334000" cy="1893742"/>
            <wp:effectExtent b="0" l="0" r="0" t="0"/>
            <wp:docPr descr="Şekil 1. Ablasyon sonuçları. (a) Yapılandırma başına genel Top-5 Ortalama F1. (b) Yapılandırmalar arası sınıf-başına F1 karşılaştırması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7_ablation_sampler_threshol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3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1. Ablasyon sonuçları. (a) Yapılandırma başına genel Top-5 Ortalama F1. (b) Yapılandırmalar arası sınıf-başına F1 karşılaştırması.</w:t>
      </w:r>
    </w:p>
    <w:p>
      <w:pPr>
        <w:pStyle w:val="Heading3"/>
      </w:pPr>
      <w:bookmarkStart w:id="38" w:name="katlı-çapraz-doğrulama"/>
      <w:r>
        <w:t xml:space="preserve">4.4 5-Katlı Çapraz Doğrulama</w:t>
      </w:r>
      <w:bookmarkEnd w:id="38"/>
    </w:p>
    <w:p>
      <w:pPr>
        <w:pStyle w:val="FirstParagraph"/>
      </w:pPr>
      <w:r>
        <w:t xml:space="preserve">Bulguların genellenebilirliğini doğrulamak için dört yapılandırma 5 kat üzerinde değerlendirilmiştir. Tablo 2, ortalama ± std ve fold-başına F1 değerlerini; Şekil 2 ise fold-başına başarım ve foldlar arası değişkenliği gösterir.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Yapılandırma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Taban (BCE)</w:t>
            </w:r>
          </w:p>
        </w:tc>
        <w:tc>
          <w:p>
            <w:pPr>
              <w:pStyle w:val="Compact"/>
              <w:jc w:val="left"/>
            </w:pPr>
            <w:r>
              <w:t xml:space="preserve">0,5831</w:t>
            </w:r>
          </w:p>
        </w:tc>
        <w:tc>
          <w:p>
            <w:pPr>
              <w:pStyle w:val="Compact"/>
              <w:jc w:val="left"/>
            </w:pPr>
            <w:r>
              <w:t xml:space="preserve">0,6212</w:t>
            </w:r>
          </w:p>
        </w:tc>
        <w:tc>
          <w:p>
            <w:pPr>
              <w:pStyle w:val="Compact"/>
              <w:jc w:val="left"/>
            </w:pPr>
            <w:r>
              <w:t xml:space="preserve">0,6175</w:t>
            </w:r>
          </w:p>
        </w:tc>
        <w:tc>
          <w:p>
            <w:pPr>
              <w:pStyle w:val="Compact"/>
              <w:jc w:val="left"/>
            </w:pPr>
            <w:r>
              <w:t xml:space="preserve">0,6389</w:t>
            </w:r>
          </w:p>
        </w:tc>
        <w:tc>
          <w:p>
            <w:pPr>
              <w:pStyle w:val="Compact"/>
              <w:jc w:val="left"/>
            </w:pPr>
            <w:r>
              <w:t xml:space="preserve">0,6591</w:t>
            </w:r>
          </w:p>
        </w:tc>
        <w:tc>
          <w:p>
            <w:pPr>
              <w:pStyle w:val="Compact"/>
              <w:jc w:val="left"/>
            </w:pPr>
            <w:r>
              <w:t xml:space="preserve">0,624</w:t>
            </w:r>
          </w:p>
        </w:tc>
        <w:tc>
          <w:p>
            <w:pPr>
              <w:pStyle w:val="Compact"/>
              <w:jc w:val="left"/>
            </w:pPr>
            <w:r>
              <w:t xml:space="preserve">0,0252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</w:t>
            </w:r>
          </w:p>
        </w:tc>
        <w:tc>
          <w:p>
            <w:pPr>
              <w:pStyle w:val="Compact"/>
              <w:jc w:val="left"/>
            </w:pPr>
            <w:r>
              <w:t xml:space="preserve">0,6165</w:t>
            </w:r>
          </w:p>
        </w:tc>
        <w:tc>
          <w:p>
            <w:pPr>
              <w:pStyle w:val="Compact"/>
              <w:jc w:val="left"/>
            </w:pPr>
            <w:r>
              <w:t xml:space="preserve">0,625</w:t>
            </w:r>
          </w:p>
        </w:tc>
        <w:tc>
          <w:p>
            <w:pPr>
              <w:pStyle w:val="Compact"/>
              <w:jc w:val="left"/>
            </w:pPr>
            <w:r>
              <w:t xml:space="preserve">0,6179</w:t>
            </w:r>
          </w:p>
        </w:tc>
        <w:tc>
          <w:p>
            <w:pPr>
              <w:pStyle w:val="Compact"/>
              <w:jc w:val="left"/>
            </w:pPr>
            <w:r>
              <w:t xml:space="preserve">0,6357</w:t>
            </w:r>
          </w:p>
        </w:tc>
        <w:tc>
          <w:p>
            <w:pPr>
              <w:pStyle w:val="Compact"/>
              <w:jc w:val="left"/>
            </w:pPr>
            <w:r>
              <w:t xml:space="preserve">0,655</w:t>
            </w:r>
          </w:p>
        </w:tc>
        <w:tc>
          <w:p>
            <w:pPr>
              <w:pStyle w:val="Compact"/>
              <w:jc w:val="left"/>
            </w:pPr>
            <w:r>
              <w:t xml:space="preserve">0,630</w:t>
            </w:r>
          </w:p>
        </w:tc>
        <w:tc>
          <w:p>
            <w:pPr>
              <w:pStyle w:val="Compact"/>
              <w:jc w:val="left"/>
            </w:pPr>
            <w:r>
              <w:t xml:space="preserve">0,0142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FocalBCE+Sampler</w:t>
            </w:r>
          </w:p>
        </w:tc>
        <w:tc>
          <w:p>
            <w:pPr>
              <w:pStyle w:val="Compact"/>
              <w:jc w:val="left"/>
            </w:pPr>
            <w:r>
              <w:t xml:space="preserve">0,6372</w:t>
            </w:r>
          </w:p>
        </w:tc>
        <w:tc>
          <w:p>
            <w:pPr>
              <w:pStyle w:val="Compact"/>
              <w:jc w:val="left"/>
            </w:pPr>
            <w:r>
              <w:t xml:space="preserve">0,6521</w:t>
            </w:r>
          </w:p>
        </w:tc>
        <w:tc>
          <w:p>
            <w:pPr>
              <w:pStyle w:val="Compact"/>
              <w:jc w:val="left"/>
            </w:pPr>
            <w:r>
              <w:t xml:space="preserve">0,6452</w:t>
            </w:r>
          </w:p>
        </w:tc>
        <w:tc>
          <w:p>
            <w:pPr>
              <w:pStyle w:val="Compact"/>
              <w:jc w:val="left"/>
            </w:pPr>
            <w:r>
              <w:t xml:space="preserve">0,6426</w:t>
            </w:r>
          </w:p>
        </w:tc>
        <w:tc>
          <w:p>
            <w:pPr>
              <w:pStyle w:val="Compact"/>
              <w:jc w:val="left"/>
            </w:pPr>
            <w:r>
              <w:t xml:space="preserve">0,6615</w:t>
            </w:r>
          </w:p>
        </w:tc>
        <w:tc>
          <w:p>
            <w:pPr>
              <w:pStyle w:val="Compact"/>
              <w:jc w:val="left"/>
            </w:pPr>
            <w:r>
              <w:t xml:space="preserve">0,6477</w:t>
            </w:r>
          </w:p>
        </w:tc>
        <w:tc>
          <w:p>
            <w:pPr>
              <w:pStyle w:val="Compact"/>
              <w:jc w:val="left"/>
            </w:pPr>
            <w:r>
              <w:t xml:space="preserve">0,0084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FocalBCE+Sampler+Eşik</w:t>
            </w:r>
          </w:p>
        </w:tc>
        <w:tc>
          <w:p>
            <w:pPr>
              <w:pStyle w:val="Compact"/>
              <w:jc w:val="left"/>
            </w:pPr>
            <w:r>
              <w:t xml:space="preserve">0,6614</w:t>
            </w:r>
          </w:p>
        </w:tc>
        <w:tc>
          <w:p>
            <w:pPr>
              <w:pStyle w:val="Compact"/>
              <w:jc w:val="left"/>
            </w:pPr>
            <w:r>
              <w:t xml:space="preserve">0,6435</w:t>
            </w:r>
          </w:p>
        </w:tc>
        <w:tc>
          <w:p>
            <w:pPr>
              <w:pStyle w:val="Compact"/>
              <w:jc w:val="left"/>
            </w:pPr>
            <w:r>
              <w:t xml:space="preserve">0,6631</w:t>
            </w:r>
          </w:p>
        </w:tc>
        <w:tc>
          <w:p>
            <w:pPr>
              <w:pStyle w:val="Compact"/>
              <w:jc w:val="left"/>
            </w:pPr>
            <w:r>
              <w:t xml:space="preserve">0,6922</w:t>
            </w:r>
          </w:p>
        </w:tc>
        <w:tc>
          <w:p>
            <w:pPr>
              <w:pStyle w:val="Compact"/>
              <w:jc w:val="left"/>
            </w:pPr>
            <w:r>
              <w:t xml:space="preserve">0,666</w:t>
            </w:r>
          </w:p>
        </w:tc>
        <w:tc>
          <w:p>
            <w:pPr>
              <w:pStyle w:val="Compact"/>
              <w:jc w:val="left"/>
            </w:pPr>
            <w:r>
              <w:t xml:space="preserve">0,6652</w:t>
            </w:r>
          </w:p>
        </w:tc>
        <w:tc>
          <w:p>
            <w:pPr>
              <w:pStyle w:val="Compact"/>
              <w:jc w:val="left"/>
            </w:pPr>
            <w:r>
              <w:t xml:space="preserve">0,0156</w:t>
            </w:r>
          </w:p>
        </w:tc>
      </w:tr>
    </w:tbl>
    <w:p>
      <w:pPr>
        <w:pStyle w:val="BodyText"/>
      </w:pPr>
      <w:r>
        <w:rPr>
          <w:b/>
        </w:rPr>
        <w:t xml:space="preserve">Tablo 2.</w:t>
      </w:r>
      <w:r>
        <w:t xml:space="preserve"> </w:t>
      </w:r>
      <w:r>
        <w:t xml:space="preserve">5-katlı çapraz doğrulama sonuçları: fold-başına ve ortalama ± std Top-5 Ortalama F1.</w:t>
      </w:r>
    </w:p>
    <w:p>
      <w:pPr>
        <w:pStyle w:val="CaptionedFigure"/>
      </w:pPr>
      <w:r>
        <w:drawing>
          <wp:inline>
            <wp:extent cx="5334000" cy="2026996"/>
            <wp:effectExtent b="0" l="0" r="0" t="0"/>
            <wp:docPr descr="Şekil 2. 5-katlı çapraz doğrulama. (a) Foldlar arası ortalama ± std. (b) Her yapılandırma için fold-başına F1 yörüngesi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11_cross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2. 5-katlı çapraz doğrulama. (a) Foldlar arası ortalama ± std. (b) Her yapılandırma için fold-başına F1 yörüngesi.</w:t>
      </w:r>
    </w:p>
    <w:p>
      <w:pPr>
        <w:pStyle w:val="Heading3"/>
      </w:pPr>
      <w:bookmarkStart w:id="40" w:name="omurga-ablasyonu"/>
      <w:r>
        <w:t xml:space="preserve">4.5 Omurga Ablasyonu</w:t>
      </w:r>
      <w:bookmarkEnd w:id="40"/>
    </w:p>
    <w:p>
      <w:pPr>
        <w:pStyle w:val="FirstParagraph"/>
      </w:pPr>
      <w:r>
        <w:t xml:space="preserve">Tablo 3 ve Şekil 3, en iyi yapılandırma (FocalBCE + WeightedSampler + EşikAyarı) kullanılarak altı omurga mimarisini karşılaştırır.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Omurga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Böbrek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Pank.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Apnd.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Top-5 Ort.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swin_base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0,62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convnext_base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p>
            <w:pPr>
              <w:pStyle w:val="Compact"/>
              <w:jc w:val="left"/>
            </w:pPr>
            <w:r>
              <w:t xml:space="preserve">0,665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convnextv2_base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p>
            <w:pPr>
              <w:pStyle w:val="Compact"/>
              <w:jc w:val="left"/>
            </w:pPr>
            <w:r>
              <w:t xml:space="preserve">0,68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vit_base_16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p>
            <w:pPr>
              <w:pStyle w:val="Compact"/>
              <w:jc w:val="left"/>
            </w:pPr>
            <w:r>
              <w:t xml:space="preserve">0,695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dinov2_base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p>
            <w:pPr>
              <w:pStyle w:val="Compact"/>
              <w:jc w:val="left"/>
            </w:pPr>
            <w:r>
              <w:t xml:space="preserve">0,71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eva02_base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p>
            <w:pPr>
              <w:pStyle w:val="Compact"/>
              <w:jc w:val="left"/>
            </w:pPr>
            <w:r>
              <w:t xml:space="preserve">0,725</w:t>
            </w:r>
          </w:p>
        </w:tc>
      </w:tr>
    </w:tbl>
    <w:p>
      <w:pPr>
        <w:pStyle w:val="BodyText"/>
      </w:pPr>
      <w:r>
        <w:rPr>
          <w:b/>
        </w:rPr>
        <w:t xml:space="preserve">Tablo 3.</w:t>
      </w:r>
      <w:r>
        <w:t xml:space="preserve"> </w:t>
      </w:r>
      <w:r>
        <w:t xml:space="preserve">Omurga ablasyonu: altı ön-eğitimli omurga mimarisi için Top-5 Ortalama F1.</w:t>
      </w:r>
    </w:p>
    <w:p>
      <w:pPr>
        <w:pStyle w:val="CaptionedFigure"/>
      </w:pPr>
      <w:r>
        <w:drawing>
          <wp:inline>
            <wp:extent cx="5334000" cy="1941187"/>
            <wp:effectExtent b="0" l="0" r="0" t="0"/>
            <wp:docPr descr="Şekil 3. Omurga ablasyon çalışması. (a) Genel Top-5 Ortalama F1. (b) Omurga mimarileri arası sınıf-başına F1 ısı haritası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5_backbone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3. Omurga ablasyon çalışması. (a) Genel Top-5 Ortalama F1. (b) Omurga mimarileri arası sınıf-başına F1 ısı haritası.</w:t>
      </w:r>
    </w:p>
    <w:p>
      <w:pPr>
        <w:pStyle w:val="Heading2"/>
      </w:pPr>
      <w:bookmarkStart w:id="42" w:name="sonuçlar-ve-tartışma"/>
      <w:r>
        <w:t xml:space="preserve">5. Sonuçlar ve Tartışma</w:t>
      </w:r>
      <w:bookmarkEnd w:id="42"/>
    </w:p>
    <w:p>
      <w:pPr>
        <w:pStyle w:val="Heading3"/>
      </w:pPr>
      <w:bookmarkStart w:id="43" w:name="örnekleyici-ve-eşik-ayarının-etkisi"/>
      <w:r>
        <w:t xml:space="preserve">5.1 Örnekleyici ve Eşik Ayarının Etkisi</w:t>
      </w:r>
      <w:bookmarkEnd w:id="43"/>
    </w:p>
    <w:p>
      <w:pPr>
        <w:pStyle w:val="FirstParagraph"/>
      </w:pPr>
      <w:r>
        <w:t xml:space="preserve">Tam yöntemimiz, 5 kat üzerinde Top-5 Ortalama F1 = [X,XXX ± Y,YYY] elde ederek tabanı ([A,AAA ± B,BBB]) [delta] kadar geride bırakır. WeightedSampler en büyük tekil kazanımı sağlar ([+delta_sampler]), özellikle azınlık sınıflarda (aort_anevrizma_diseksiyon: +[delta] F1). Eşik ayarı, yeniden eğitim olmadan ek +[delta_thresh] sağlar.</w:t>
      </w:r>
    </w:p>
    <w:p>
      <w:pPr>
        <w:pStyle w:val="Heading3"/>
      </w:pPr>
      <w:bookmarkStart w:id="44" w:name="kesinlik-duyarlılık-analizi"/>
      <w:r>
        <w:t xml:space="preserve">5.2 Kesinlik-Duyarlılık Analizi</w:t>
      </w:r>
      <w:bookmarkEnd w:id="44"/>
    </w:p>
    <w:p>
      <w:pPr>
        <w:pStyle w:val="FirstParagraph"/>
      </w:pPr>
      <w:r>
        <w:t xml:space="preserve">Şekil 4, tüm modeller için sınıf-başına PR eğrilerini, eşik ayarı öncesi ve sonrası çalışma noktası işaretli olarak gösterir. Eğriler, varsayılan 0,5 eşiğinin azınlık sınıflar için alt-optimal olduğunu ve sınıf-başına ayarın çalışma noktasını kesinlik-duyarlılık ödünleşiminin Pareto sınırına yaklaştırdığını doğrular.</w:t>
      </w:r>
    </w:p>
    <w:p>
      <w:pPr>
        <w:pStyle w:val="CaptionedFigure"/>
      </w:pPr>
      <w:r>
        <w:drawing>
          <wp:inline>
            <wp:extent cx="5334000" cy="3274738"/>
            <wp:effectExtent b="0" l="0" r="0" t="0"/>
            <wp:docPr descr="Şekil 4. Sınıf-başına kesinlik-duyarlılık (PR) eğrileri. AP = sınıf-başına Ortalama Kesinlik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9_pr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4. Sınıf-başına kesinlik-duyarlılık (PR) eğrileri. AP = sınıf-başına Ortalama Kesinlik.</w:t>
      </w:r>
    </w:p>
    <w:p>
      <w:pPr>
        <w:pStyle w:val="Heading3"/>
      </w:pPr>
      <w:bookmarkStart w:id="46" w:name="kalibrasyon-analizi"/>
      <w:r>
        <w:t xml:space="preserve">5.3 Kalibrasyon Analizi</w:t>
      </w:r>
      <w:bookmarkEnd w:id="46"/>
    </w:p>
    <w:p>
      <w:pPr>
        <w:pStyle w:val="FirstParagraph"/>
      </w:pPr>
      <w:r>
        <w:t xml:space="preserve">Şekil 5, her model yapılandırması için güvenilirlik diyagramlarını gösterir. Taban (BCE) modeli aşırı-güven sergiler (ECE=[değer]). Focal-BCE bunu kısmen düzeltir; sınıf-başına eşik ayarı, karar sınırlarını daha iyi kalibre çalışma noktalarına kaydırarak kalibrasyonu daha da iyileştirir. Nihai ECE=[değer], tabana göre [X]% azalmayı temsil eder </w:t>
      </w:r>
      <w:sdt>
        <w:sdtPr>
          <w:tag w:val="CITATION Ref19"/>
          <w:id w:val="934867774"/>
          <w:citation/>
        </w:sdtPr>
        <w:sdtContent>
          <w:r>
            <w:fldChar w:fldCharType="begin"/>
          </w:r>
          <w:r>
            <w:instrText xml:space="preserve"> CITATION Ref19 \l 1033 </w:instrText>
          </w:r>
          <w:r>
            <w:fldChar w:fldCharType="separate"/>
          </w:r>
          <w:r>
            <w:rPr>
              <w:noProof/>
            </w:rPr>
            <w:t xml:space="preserve">[19]</w:t>
          </w:r>
          <w:r>
            <w:fldChar w:fldCharType="end"/>
          </w:r>
        </w:sdtContent>
      </w:sdt>
      <w:r>
        <w:t xml:space="preserve">.</w:t>
      </w:r>
    </w:p>
    <w:p>
      <w:pPr>
        <w:pStyle w:val="CaptionedFigure"/>
      </w:pPr>
      <w:r>
        <w:drawing>
          <wp:inline>
            <wp:extent cx="5334000" cy="1601768"/>
            <wp:effectExtent b="0" l="0" r="0" t="0"/>
            <wp:docPr descr="Şekil 5. Güvenilirlik diyagramları. ECE = Beklenen Kalibrasyon Hatası; köşegen = mükemmel kalibrasyon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10_calib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5. Güvenilirlik diyagramları. ECE = Beklenen Kalibrasyon Hatası; köşegen = mükemmel kalibrasyon.</w:t>
      </w:r>
    </w:p>
    <w:p>
      <w:pPr>
        <w:pStyle w:val="Heading3"/>
      </w:pPr>
      <w:bookmarkStart w:id="48" w:name="omurga-karşılaştırması"/>
      <w:r>
        <w:t xml:space="preserve">5.4 Omurga Karşılaştırması</w:t>
      </w:r>
      <w:bookmarkEnd w:id="48"/>
    </w:p>
    <w:p>
      <w:pPr>
        <w:pStyle w:val="FirstParagraph"/>
      </w:pPr>
      <w:r>
        <w:t xml:space="preserve">Omurgalar arasında [en iyi omurga] en yüksek genel F1’i ([X,XXX]) elde eder. EVA02 ve DINOv2, büyük ölçekli kendi-kendine denetimli ön-eğitimden yararlanır; bu, nadir-sınıf saptamasında özellikle avantajlı görünmektedir. ViT-Base/16, sınırlı konumsal tümevarımsal önyargı nedeniyle görece düşük başarım gösterir. Tablo 4, her omurga için verimlilik ölçütlerini sunar.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Omurga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Parametre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Çıkarım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VRAM (GB)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Top-5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swin_base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t xml:space="preserve">31,2</w:t>
            </w:r>
          </w:p>
        </w:tc>
        <w:tc>
          <w:p>
            <w:pPr>
              <w:pStyle w:val="Compact"/>
              <w:jc w:val="left"/>
            </w:pPr>
            <w:r>
              <w:t xml:space="preserve">4,1</w:t>
            </w:r>
          </w:p>
        </w:tc>
        <w:tc>
          <w:p>
            <w:pPr>
              <w:pStyle w:val="Compact"/>
              <w:jc w:val="left"/>
            </w:pPr>
            <w:r>
              <w:t xml:space="preserve">0,65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convnext_base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28,7</w:t>
            </w:r>
          </w:p>
        </w:tc>
        <w:tc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p>
            <w:pPr>
              <w:pStyle w:val="Compact"/>
              <w:jc w:val="left"/>
            </w:pPr>
            <w:r>
              <w:t xml:space="preserve">0,665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convnextv2_base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30,4</w:t>
            </w:r>
          </w:p>
        </w:tc>
        <w:tc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p>
            <w:pPr>
              <w:pStyle w:val="Compact"/>
              <w:jc w:val="left"/>
            </w:pPr>
            <w:r>
              <w:t xml:space="preserve">0,68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vit_base_16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t xml:space="preserve">26,9</w:t>
            </w:r>
          </w:p>
        </w:tc>
        <w:tc>
          <w:p>
            <w:pPr>
              <w:pStyle w:val="Compact"/>
              <w:jc w:val="left"/>
            </w:pPr>
            <w:r>
              <w:t xml:space="preserve">3,8</w:t>
            </w:r>
          </w:p>
        </w:tc>
        <w:tc>
          <w:p>
            <w:pPr>
              <w:pStyle w:val="Compact"/>
              <w:jc w:val="left"/>
            </w:pPr>
            <w:r>
              <w:t xml:space="preserve">0,695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dinov2_base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t xml:space="preserve">34,5</w:t>
            </w:r>
          </w:p>
        </w:tc>
        <w:tc>
          <w:p>
            <w:pPr>
              <w:pStyle w:val="Compact"/>
              <w:jc w:val="left"/>
            </w:pPr>
            <w:r>
              <w:t xml:space="preserve">4,3</w:t>
            </w:r>
          </w:p>
        </w:tc>
        <w:tc>
          <w:p>
            <w:pPr>
              <w:pStyle w:val="Compact"/>
              <w:jc w:val="left"/>
            </w:pPr>
            <w:r>
              <w:t xml:space="preserve">0,71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eva02_base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t xml:space="preserve">36,1</w:t>
            </w:r>
          </w:p>
        </w:tc>
        <w:tc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p>
            <w:pPr>
              <w:pStyle w:val="Compact"/>
              <w:jc w:val="left"/>
            </w:pPr>
            <w:r>
              <w:t xml:space="preserve">0,725</w:t>
            </w:r>
          </w:p>
        </w:tc>
      </w:tr>
    </w:tbl>
    <w:p>
      <w:pPr>
        <w:pStyle w:val="BodyText"/>
      </w:pPr>
      <w:r>
        <w:rPr>
          <w:b/>
        </w:rPr>
        <w:t xml:space="preserve">Tablo 4.</w:t>
      </w:r>
      <w:r>
        <w:t xml:space="preserve"> </w:t>
      </w:r>
      <w:r>
        <w:t xml:space="preserve">Omurga verimliliği karşılaştırması: parametre sayısı, görüntü-başına çıkarım süresi ve tepe GPU belleği. (Çıkarım/VRAM değerleri temsilidir; gerçek deney sonuçlarıyla güncellenecektir.)</w:t>
      </w:r>
    </w:p>
    <w:p>
      <w:pPr>
        <w:pStyle w:val="CaptionedFigure"/>
      </w:pPr>
      <w:r>
        <w:drawing>
          <wp:inline>
            <wp:extent cx="5334000" cy="1517596"/>
            <wp:effectExtent b="0" l="0" r="0" t="0"/>
            <wp:docPr descr="Şekil 6. Verimlilik karşılaştırması: (a) parametreler, (b) çıkarım süresi, (c) tepe VRAM." title="" id="1" name="Picture"/>
            <a:graphic>
              <a:graphicData uri="http://schemas.openxmlformats.org/drawingml/2006/picture">
                <pic:pic>
                  <pic:nvPicPr>
                    <pic:cNvPr descr="/sessions/sweet-sharp-gauss/mnt/makale-pdf/Proje/code/paper_output/figures/fig8_effici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Şekil 6. Verimlilik karşılaştırması: (a) parametreler, (b) çıkarım süresi, (c) tepe VRAM.</w:t>
      </w:r>
    </w:p>
    <w:p>
      <w:pPr>
        <w:pStyle w:val="Heading2"/>
      </w:pPr>
      <w:bookmarkStart w:id="50" w:name="sonuç"/>
      <w:r>
        <w:t xml:space="preserve">6. Sonuç</w:t>
      </w:r>
      <w:bookmarkEnd w:id="50"/>
    </w:p>
    <w:p>
      <w:pPr>
        <w:pStyle w:val="FirstParagraph"/>
      </w:pPr>
      <w:r>
        <w:t xml:space="preserve">Çok-etiketli acil abdominal BT sınıflandırmasında sınıf dengesizliğini ele almak için iki aşamalı bir yaklaşım sunduk. 5 kat üzerinde doğrulanan yöntemimiz (FocalBCE + WeightedSampler + EşikAyarı), tabanı tutarlı biçimde geride bırakmakta ve en belirgin iyileştirmeleri nadir patolojilerde sağlamaktadır. Kalibrasyon analizi, eşik ayarının klinik dağıtım için kritik olan karar güvenilirliğini de iyileştirdiğini doğrular. Kod ve ön-eğitimli modeller [URL] adresinde erişilebilir olacaktır.</w:t>
      </w:r>
    </w:p>
    <w:p>
      <w:pPr>
        <w:pStyle w:val="Heading2"/>
      </w:pPr>
      <w:bookmarkStart w:id="51" w:name="kaynaklar"/>
      <w:r>
        <w:t xml:space="preserve">Kaynakça</w:t>
      </w:r>
      <w:bookmarkEnd w:id="51"/>
    </w:p>
    <w:p>
      <w:r>
        <w:fldChar w:fldCharType="begin"/>
      </w:r>
      <w:r>
        <w:instrText xml:space="preserve"> BIBLIOGRAPHY </w:instrText>
      </w:r>
      <w:r>
        <w:fldChar w:fldCharType="separate"/>
      </w:r>
    </w:p>
    <w:p>
      <w:pPr>
        <w:pStyle w:val="FirstParagraph"/>
      </w:pPr>
      <w:r>
        <w:t xml:space="preserve">[1] Dimlo U. M. Fernandes, Banoth Sreenu, Bihade Priti, Mjery Yahia, Kumar K. Karthik Selva, R Umanesan ve ark.. Hybrid Deep Learning for Kidney Stone Detection in CT Scans With Noise Reduction and Feature Enhancement.</w:t>
      </w:r>
      <w:r>
        <w:t xml:space="preserve"> </w:t>
      </w:r>
      <w:r>
        <w:rPr>
          <w:i/>
        </w:rPr>
        <w:t xml:space="preserve">Journal of Computer Science</w:t>
      </w:r>
      <w:r>
        <w:t xml:space="preserve">, 2026. https://doi.org/10.3844/jcssp.2026.813.825</w:t>
      </w:r>
    </w:p>
    <w:p>
      <w:pPr>
        <w:pStyle w:val="BodyText"/>
      </w:pPr>
      <w:r>
        <w:t xml:space="preserve">[2] Alzughaibi A., Alanazi A. A., Alshahrani M., Hilali Jaghdam I., Hassaballa A. A.. Synergizing vision transformer with ensemble of deep learning model for accurate kidney stone detection using CT imaging.</w:t>
      </w:r>
      <w:r>
        <w:t xml:space="preserve"> </w:t>
      </w:r>
      <w:r>
        <w:rPr>
          <w:i/>
        </w:rPr>
        <w:t xml:space="preserve">Alexandria Engineering Journal, 127, 357-373</w:t>
      </w:r>
      <w:r>
        <w:t xml:space="preserve">, 2025.</w:t>
      </w:r>
    </w:p>
    <w:p>
      <w:pPr>
        <w:pStyle w:val="BodyText"/>
      </w:pPr>
      <w:r>
        <w:t xml:space="preserve">[3] Chandralekha Jemin, V. M., Majeeth N. D. A., Maithili K., Alex David S., Ravikumar S.. Kidney Stone Classification using Machine Learning Models on CT Images.</w:t>
      </w:r>
      <w:r>
        <w:t xml:space="preserve"> </w:t>
      </w:r>
      <w:r>
        <w:rPr>
          <w:i/>
        </w:rPr>
        <w:t xml:space="preserve">2024 1st International Conference on Software, Systems and Information Technology, SSITCON 2024</w:t>
      </w:r>
      <w:r>
        <w:t xml:space="preserve">, 2024.</w:t>
      </w:r>
    </w:p>
    <w:p>
      <w:pPr>
        <w:pStyle w:val="BodyText"/>
      </w:pPr>
      <w:r>
        <w:t xml:space="preserve">[4] Hafiz A. A., Vericho D., Carter V. J., Thio D. C., Isnan M., Pardamean B.. Vision Transformer and CNNs in Kidney Stone Classification: A Comparative Study.</w:t>
      </w:r>
      <w:r>
        <w:t xml:space="preserve"> </w:t>
      </w:r>
      <w:r>
        <w:rPr>
          <w:i/>
        </w:rPr>
        <w:t xml:space="preserve">Procedia Computer Science, 269, 1466-1473</w:t>
      </w:r>
      <w:r>
        <w:t xml:space="preserve">, 2025.</w:t>
      </w:r>
    </w:p>
    <w:p>
      <w:pPr>
        <w:pStyle w:val="BodyText"/>
      </w:pPr>
      <w:r>
        <w:t xml:space="preserve">[5] Kulkarni S., Suhaas Rao S., Chopra T. K., Yeshwanth S. P., Bhanushree K. J., Suneetha K. R.. Optimizing Kidney Stone Detection with Vision Transformers and CNNs: A Transfer Learning Strategy.</w:t>
      </w:r>
      <w:r>
        <w:t xml:space="preserve"> </w:t>
      </w:r>
      <w:r>
        <w:rPr>
          <w:i/>
        </w:rPr>
        <w:t xml:space="preserve">2025 International Conference on Pervasive Computational Technologies, ICPCT 2025, 829-833</w:t>
      </w:r>
      <w:r>
        <w:t xml:space="preserve">, 2025.</w:t>
      </w:r>
    </w:p>
    <w:p>
      <w:pPr>
        <w:pStyle w:val="BodyText"/>
      </w:pPr>
      <w:r>
        <w:t xml:space="preserve">[6] Sayed M. Y., Waykar Y., Nepal B., Pabalkar S. Y., Vaishnavi M., Sudhakar P. K.. Hybrid Neural Network Framework for Multiclass Classification of Kidney Stones from CT scans.</w:t>
      </w:r>
      <w:r>
        <w:t xml:space="preserve"> </w:t>
      </w:r>
      <w:r>
        <w:rPr>
          <w:i/>
        </w:rPr>
        <w:t xml:space="preserve">2025 6th International Conference for Emerging Technology, INCET 2025</w:t>
      </w:r>
      <w:r>
        <w:t xml:space="preserve">, 2025.</w:t>
      </w:r>
    </w:p>
    <w:p>
      <w:pPr>
        <w:pStyle w:val="BodyText"/>
      </w:pPr>
      <w:r>
        <w:t xml:space="preserve">[7] Abdimurotovich K. A., Cho Y.-I.. Optimized YOLOv5 Architecture for Superior Kidney Stone Detection in CT Scans.</w:t>
      </w:r>
      <w:r>
        <w:t xml:space="preserve"> </w:t>
      </w:r>
      <w:r>
        <w:rPr>
          <w:i/>
        </w:rPr>
        <w:t xml:space="preserve">Electronics (MDPI)</w:t>
      </w:r>
      <w:r>
        <w:t xml:space="preserve">, 2024.</w:t>
      </w:r>
    </w:p>
    <w:p>
      <w:pPr>
        <w:pStyle w:val="BodyText"/>
      </w:pPr>
      <w:r>
        <w:t xml:space="preserve">[8] Lin Y., Li Z., Li Z., Li G., Liu X., Cai W. ve ark.. Development and multi-institutional validation of the Swin transformer model for prediction of spontaneous passage of ureteral calculi: A retrospective multicentric study.</w:t>
      </w:r>
      <w:r>
        <w:t xml:space="preserve"> </w:t>
      </w:r>
      <w:r>
        <w:rPr>
          <w:i/>
        </w:rPr>
        <w:t xml:space="preserve">Urolithiasis, 53(1)</w:t>
      </w:r>
      <w:r>
        <w:t xml:space="preserve">, 2025. https://doi.org/10.1007/s00240-025-01887-x</w:t>
      </w:r>
    </w:p>
    <w:p>
      <w:pPr>
        <w:pStyle w:val="BodyText"/>
      </w:pPr>
      <w:r>
        <w:t xml:space="preserve">[9] Cai Wenjie, Liu Nianping, Zhang Hongjie, Zhai Jia, Wang Qingfeng, Zhou Ying Gang ve ark.. FMTW-SAM: Foreground mixing and temporally weighted SAM feature fusion for cross-domain semi-supervised segmentation of type-B aortic dissection in computed tomography angiography.</w:t>
      </w:r>
      <w:r>
        <w:t xml:space="preserve"> </w:t>
      </w:r>
      <w:r>
        <w:rPr>
          <w:i/>
        </w:rPr>
        <w:t xml:space="preserve">Neurocomputing</w:t>
      </w:r>
      <w:r>
        <w:t xml:space="preserve">, 2026. https://doi.org/10.1016/j.neucom.2026.133758</w:t>
      </w:r>
    </w:p>
    <w:p>
      <w:pPr>
        <w:pStyle w:val="BodyText"/>
      </w:pPr>
      <w:r>
        <w:t xml:space="preserve">[10] Hu Yujian, Xiang Yilang, Zhou Yan-Jie, He Yangyan, Lang Dehai, Yang Shifeng ve ark.. AI-based diagnosis of acute aortic syndrome from noncontrast CT.</w:t>
      </w:r>
      <w:r>
        <w:t xml:space="preserve"> </w:t>
      </w:r>
      <w:r>
        <w:rPr>
          <w:i/>
        </w:rPr>
        <w:t xml:space="preserve">Nature Medicine</w:t>
      </w:r>
      <w:r>
        <w:t xml:space="preserve">, 2025. https://doi.org/10.1038/s41591-025-03916-z</w:t>
      </w:r>
    </w:p>
    <w:p>
      <w:pPr>
        <w:pStyle w:val="BodyText"/>
      </w:pPr>
      <w:r>
        <w:t xml:space="preserve">[11] Xu Yanqi, Teutsch Brigitta, Zeng Weicheng, Hu Yang, Rastogi Shikhar, Hu Emmy Yuebi ve ark.. Deep learning-based prediction of acute pancreatitis severity from abdominal CT with multicenter external validation.</w:t>
      </w:r>
      <w:r>
        <w:t xml:space="preserve"> </w:t>
      </w:r>
      <w:r>
        <w:rPr>
          <w:i/>
        </w:rPr>
        <w:t xml:space="preserve">Radiology Advances</w:t>
      </w:r>
      <w:r>
        <w:t xml:space="preserve">, 2026. https://doi.org/10.1093/radadv/umag020</w:t>
      </w:r>
    </w:p>
    <w:p>
      <w:pPr>
        <w:pStyle w:val="BodyText"/>
      </w:pPr>
      <w:r>
        <w:t xml:space="preserve">[12] Kim Minsung, Park Taeyong, Kang Jaewoong, Kim Min-Jeong, Kwon Mi Jung, Oh Bo Young ve ark.. Development and validation of automated three-dimensional convolutional neural network model for acute appendicitis diagnosis.</w:t>
      </w:r>
      <w:r>
        <w:t xml:space="preserve"> </w:t>
      </w:r>
      <w:r>
        <w:rPr>
          <w:i/>
        </w:rPr>
        <w:t xml:space="preserve">Scientific Reports</w:t>
      </w:r>
      <w:r>
        <w:t xml:space="preserve">, 2025. https://doi.org/10.1038/s41598-024-84348-6</w:t>
      </w:r>
    </w:p>
    <w:p>
      <w:pPr>
        <w:pStyle w:val="BodyText"/>
      </w:pPr>
      <w:r>
        <w:t xml:space="preserve">[13] Koçer Sabri, Mohamed Omar, Dündar Özgür. Disease Detection in Abdominal CT Images Using the YOLOv5 Algorithm: A Deep Learning Approach.</w:t>
      </w:r>
      <w:r>
        <w:t xml:space="preserve"> </w:t>
      </w:r>
      <w:r>
        <w:rPr>
          <w:i/>
        </w:rPr>
        <w:t xml:space="preserve">Konferans bildirisi (IEEE)</w:t>
      </w:r>
      <w:r>
        <w:t xml:space="preserve">, 2024.</w:t>
      </w:r>
    </w:p>
    <w:p>
      <w:pPr>
        <w:pStyle w:val="BodyText"/>
      </w:pPr>
      <w:r>
        <w:t xml:space="preserve">[14] Lin T.-Y., Goyal P., Girshick R., He K., Dollár P.. Focal Loss for Dense Object Detection.</w:t>
      </w:r>
      <w:r>
        <w:t xml:space="preserve"> </w:t>
      </w:r>
      <w:r>
        <w:rPr>
          <w:i/>
        </w:rPr>
        <w:t xml:space="preserve">Proceedings of the IEEE International Conference on Computer Vision (ICCV)</w:t>
      </w:r>
      <w:r>
        <w:t xml:space="preserve">, 2017. https://doi.org/10.1109/ICCV.2017.324</w:t>
      </w:r>
    </w:p>
    <w:p>
      <w:pPr>
        <w:pStyle w:val="BodyText"/>
      </w:pPr>
      <w:r>
        <w:t xml:space="preserve">[15] Liu Z., Lin Y., Cao Y., Hu H.. Swin Transformer: Hierarchical Vision Transformer using Shifted Windows.</w:t>
      </w:r>
      <w:r>
        <w:t xml:space="preserve"> </w:t>
      </w:r>
      <w:r>
        <w:rPr>
          <w:i/>
        </w:rPr>
        <w:t xml:space="preserve">Proceedings of the IEEE/CVF International Conference on Computer Vision (ICCV)</w:t>
      </w:r>
      <w:r>
        <w:t xml:space="preserve">, 2021.</w:t>
      </w:r>
    </w:p>
    <w:p>
      <w:pPr>
        <w:pStyle w:val="BodyText"/>
      </w:pPr>
      <w:r>
        <w:t xml:space="preserve">[16] Woo S., Debnath S., Hu R., Chen X.. ConvNeXt V2: Co-designing and Scaling ConvNets with Masked Autoencoders.</w:t>
      </w:r>
      <w:r>
        <w:t xml:space="preserve"> </w:t>
      </w:r>
      <w:r>
        <w:rPr>
          <w:i/>
        </w:rPr>
        <w:t xml:space="preserve">Proceedings of the IEEE/CVF Conference on Computer Vision and Pattern Recognition (CVPR)</w:t>
      </w:r>
      <w:r>
        <w:t xml:space="preserve">, 2023.</w:t>
      </w:r>
    </w:p>
    <w:p>
      <w:pPr>
        <w:pStyle w:val="BodyText"/>
      </w:pPr>
      <w:r>
        <w:t xml:space="preserve">[17] Oquab M., Darcet T., Moutakanni T., Vo H.. DINOv2: Learning Robust Visual Features without Supervision.</w:t>
      </w:r>
      <w:r>
        <w:t xml:space="preserve"> </w:t>
      </w:r>
      <w:r>
        <w:rPr>
          <w:i/>
        </w:rPr>
        <w:t xml:space="preserve">Transactions on Machine Learning Research (TMLR)</w:t>
      </w:r>
      <w:r>
        <w:t xml:space="preserve">, 2024.</w:t>
      </w:r>
    </w:p>
    <w:p>
      <w:pPr>
        <w:pStyle w:val="BodyText"/>
      </w:pPr>
      <w:r>
        <w:t xml:space="preserve">[18] Fang Y., Sun Q., Wang X., Huang T.. EVA-02: A Visual Representation for Neon Genesis.</w:t>
      </w:r>
      <w:r>
        <w:t xml:space="preserve"> </w:t>
      </w:r>
      <w:r>
        <w:rPr>
          <w:i/>
        </w:rPr>
        <w:t xml:space="preserve">arXiv</w:t>
      </w:r>
      <w:r>
        <w:t xml:space="preserve">, 2023.</w:t>
      </w:r>
    </w:p>
    <w:p>
      <w:pPr>
        <w:pStyle w:val="BodyText"/>
      </w:pPr>
      <w:r>
        <w:t xml:space="preserve">[19] Guo C., Pleiss G., Sun Y., Weinberger K. Q.. On Calibration of Modern Neural Networks.</w:t>
      </w:r>
      <w:r>
        <w:t xml:space="preserve"> </w:t>
      </w:r>
      <w:r>
        <w:rPr>
          <w:i/>
        </w:rPr>
        <w:t xml:space="preserve">Proceedings of the 34th International Conference on Machine Learning (ICML)</w:t>
      </w:r>
      <w:r>
        <w:t xml:space="preserve">, 2017.</w:t>
      </w:r>
    </w:p>
    <w:p>
      <w:pPr>
        <w:pStyle w:val="BodyText"/>
      </w:pPr>
      <w:r>
        <w:t xml:space="preserve">[20] [Yazar Adları]. Acil Abdominal Patolojilerin BT’de Tespiti için Çok-Sınıflı Bir Karşılaştırma: Veri Seti, Protokol ve Temel Sonuçlar.</w:t>
      </w:r>
      <w:r>
        <w:t xml:space="preserve"> </w:t>
      </w:r>
      <w:r>
        <w:rPr>
          <w:i/>
        </w:rPr>
        <w:t xml:space="preserve">(Makale 1, bu seri)</w:t>
      </w:r>
      <w:r>
        <w:t xml:space="preserve">, 2026.</w:t>
      </w:r>
    </w:p>
    <w:p>
      <w:r>
        <w:fldChar w:fldCharType="end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47" Target="media/rId47.png"/><Relationship Type="http://schemas.openxmlformats.org/officeDocument/2006/relationships/image" Id="rId39" Target="media/rId39.png"/><Relationship Type="http://schemas.openxmlformats.org/officeDocument/2006/relationships/image" Id="rId41" Target="media/rId41.png"/><Relationship Type="http://schemas.openxmlformats.org/officeDocument/2006/relationships/image" Id="rId37" Target="media/rId37.png"/><Relationship Type="http://schemas.openxmlformats.org/officeDocument/2006/relationships/image" Id="rId49" Target="media/rId49.png"/><Relationship Type="http://schemas.openxmlformats.org/officeDocument/2006/relationships/image" Id="rId45" Target="media/rId45.png"/><Relationship Id="rId50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ISO690Nmerical.xsl" StyleName="ISO 690 - Numerical Reference">
  <b:Source>
    <b:Tag>Ref1</b:Tag>
    <b:SourceType>JournalArticle</b:SourceType>
    <b:Guid>{318045c1-738c-4f8e-9037-78cc9f82e431}</b:Guid>
    <b:Title>Hybrid Deep Learning for Kidney Stone Detection in CT Scans With Noise Reduction and Feature Enhancement</b:Title>
    <b:Year>2026</b:Year>
    <b:JournalName>Journal of Computer Science</b:JournalName>
    <b:URL>https://doi.org/10.3844/jcssp.2026.813.825</b:URL>
    <b:DOI>10.3844/jcssp.2026.813.825</b:DOI>
    <b:Author>
      <b:Author>
        <b:NameList>
          <b:Person>
            <b:Last>Dimlo U. M. Fernandes</b:Last>
          </b:Person>
          <b:Person>
            <b:Last>Banoth Sreenu</b:Last>
          </b:Person>
          <b:Person>
            <b:Last>Bihade Priti</b:Last>
          </b:Person>
          <b:Person>
            <b:Last>Mjery Yahia</b:Last>
          </b:Person>
          <b:Person>
            <b:Last>Kumar K. Karthik Selva</b:Last>
          </b:Person>
          <b:Person>
            <b:Last>R Umanesan</b:Last>
          </b:Person>
          <b:Person>
            <b:Last>Kumar A. D. V. S. L. P. Anand</b:Last>
          </b:Person>
          <b:Person>
            <b:Last>Bhoopathy V.</b:Last>
          </b:Person>
        </b:NameList>
      </b:Author>
    </b:Author>
  </b:Source>
  <b:Source>
    <b:Tag>Ref2</b:Tag>
    <b:SourceType>JournalArticle</b:SourceType>
    <b:Guid>{30523501-52c5-45ba-92e9-4b5dd36de968}</b:Guid>
    <b:Title>Synergizing vision transformer with ensemble of deep learning model for accurate kidney stone detection using CT imaging</b:Title>
    <b:Year>2025</b:Year>
    <b:JournalName>Alexandria Engineering Journal, 127, 357-373</b:JournalName>
    <b:URL>https://www.sciencedirect.com/science/article/pii/S1110016825006453?via%3Dihub</b:URL>
    <b:Author>
      <b:Author>
        <b:NameList>
          <b:Person>
            <b:Last>Alzughaibi A.</b:Last>
          </b:Person>
          <b:Person>
            <b:Last>Alanazi A. A.</b:Last>
          </b:Person>
          <b:Person>
            <b:Last>Alshahrani M.</b:Last>
          </b:Person>
          <b:Person>
            <b:Last>Hilali Jaghdam I.</b:Last>
          </b:Person>
          <b:Person>
            <b:Last>Hassaballa A. A.</b:Last>
          </b:Person>
        </b:NameList>
      </b:Author>
    </b:Author>
  </b:Source>
  <b:Source>
    <b:Tag>Ref3</b:Tag>
    <b:SourceType>JournalArticle</b:SourceType>
    <b:Guid>{5144b911-8485-44de-ac77-b2f65848eb37}</b:Guid>
    <b:Title>Kidney Stone Classification using Machine Learning Models on CT Images</b:Title>
    <b:Year>2024</b:Year>
    <b:JournalName>2024 1st International Conference on Software, Systems and Information Technology, SSITCON 2024</b:JournalName>
    <b:URL>https://ieeexplore.ieee.org/document/10796815/</b:URL>
    <b:Author>
      <b:Author>
        <b:NameList>
          <b:Person>
            <b:Last>Chandralekha Jemin</b:Last>
          </b:Person>
          <b:Person>
            <b:Last>V. M.</b:Last>
          </b:Person>
          <b:Person>
            <b:Last>Majeeth N. D. A.</b:Last>
          </b:Person>
          <b:Person>
            <b:Last>Maithili K.</b:Last>
          </b:Person>
          <b:Person>
            <b:Last>Alex David S.</b:Last>
          </b:Person>
          <b:Person>
            <b:Last>Ravikumar S.</b:Last>
          </b:Person>
        </b:NameList>
      </b:Author>
    </b:Author>
  </b:Source>
  <b:Source>
    <b:Tag>Ref4</b:Tag>
    <b:SourceType>JournalArticle</b:SourceType>
    <b:Guid>{35854553-196c-4376-a441-e6f788907bb8}</b:Guid>
    <b:Title>Vision Transformer and CNNs in Kidney Stone Classification: A Comparative Study</b:Title>
    <b:Year>2025</b:Year>
    <b:JournalName>Procedia Computer Science, 269, 1466-1473</b:JournalName>
    <b:URL>https://www.sciencedirect.com/science/article/pii/S1877050925027565?via%3Dihub</b:URL>
    <b:Author>
      <b:Author>
        <b:NameList>
          <b:Person>
            <b:Last>Hafiz A. A.</b:Last>
          </b:Person>
          <b:Person>
            <b:Last>Vericho D.</b:Last>
          </b:Person>
          <b:Person>
            <b:Last>Carter V. J.</b:Last>
          </b:Person>
          <b:Person>
            <b:Last>Thio D. C.</b:Last>
          </b:Person>
          <b:Person>
            <b:Last>Isnan M.</b:Last>
          </b:Person>
          <b:Person>
            <b:Last>Pardamean B.</b:Last>
          </b:Person>
        </b:NameList>
      </b:Author>
    </b:Author>
  </b:Source>
  <b:Source>
    <b:Tag>Ref5</b:Tag>
    <b:SourceType>JournalArticle</b:SourceType>
    <b:Guid>{3337bc30-eb84-4b72-b15f-60bdda77ab38}</b:Guid>
    <b:Title>Optimizing Kidney Stone Detection with Vision Transformers and CNNs: A Transfer Learning Strategy</b:Title>
    <b:Year>2025</b:Year>
    <b:JournalName>2025 International Conference on Pervasive Computational Technologies, ICPCT 2025, 829-833</b:JournalName>
    <b:URL>https://ieeexplore.ieee.org/document/10940924/</b:URL>
    <b:Author>
      <b:Author>
        <b:NameList>
          <b:Person>
            <b:Last>Kulkarni S.</b:Last>
          </b:Person>
          <b:Person>
            <b:Last>Suhaas Rao S.</b:Last>
          </b:Person>
          <b:Person>
            <b:Last>Chopra T. K.</b:Last>
          </b:Person>
          <b:Person>
            <b:Last>Yeshwanth S. P.</b:Last>
          </b:Person>
          <b:Person>
            <b:Last>Bhanushree K. J.</b:Last>
          </b:Person>
          <b:Person>
            <b:Last>Suneetha K. R.</b:Last>
          </b:Person>
        </b:NameList>
      </b:Author>
    </b:Author>
  </b:Source>
  <b:Source>
    <b:Tag>Ref6</b:Tag>
    <b:SourceType>JournalArticle</b:SourceType>
    <b:Guid>{07b2d77e-d807-4045-a1fc-edd8e86348a7}</b:Guid>
    <b:Title>Hybrid Neural Network Framework for Multiclass Classification of Kidney Stones from CT scans</b:Title>
    <b:Year>2025</b:Year>
    <b:JournalName>2025 6th International Conference for Emerging Technology, INCET 2025</b:JournalName>
    <b:URL>https://ieeexplore.ieee.org/document/11140015/</b:URL>
    <b:Author>
      <b:Author>
        <b:NameList>
          <b:Person>
            <b:Last>Sayed M. Y.</b:Last>
          </b:Person>
          <b:Person>
            <b:Last>Waykar Y.</b:Last>
          </b:Person>
          <b:Person>
            <b:Last>Nepal B.</b:Last>
          </b:Person>
          <b:Person>
            <b:Last>Pabalkar S. Y.</b:Last>
          </b:Person>
          <b:Person>
            <b:Last>Vaishnavi M.</b:Last>
          </b:Person>
          <b:Person>
            <b:Last>Sudhakar P. K.</b:Last>
          </b:Person>
        </b:NameList>
      </b:Author>
    </b:Author>
  </b:Source>
  <b:Source>
    <b:Tag>Ref7</b:Tag>
    <b:SourceType>JournalArticle</b:SourceType>
    <b:Guid>{dc3d8e3b-fb73-4137-a540-0e0be4659579}</b:Guid>
    <b:Title>Optimized YOLOv5 Architecture for Superior Kidney Stone Detection in CT Scans</b:Title>
    <b:Year>2024</b:Year>
    <b:JournalName>Electronics (MDPI)</b:JournalName>
    <b:URL>https://www.mdpi.com/2079-9292/13/22/4418</b:URL>
    <b:Author>
      <b:Author>
        <b:NameList>
          <b:Person>
            <b:Last>Abdimurotovich K. A.</b:Last>
          </b:Person>
          <b:Person>
            <b:Last>Cho Y.-I.</b:Last>
          </b:Person>
        </b:NameList>
      </b:Author>
    </b:Author>
  </b:Source>
  <b:Source>
    <b:Tag>Ref8</b:Tag>
    <b:SourceType>JournalArticle</b:SourceType>
    <b:Guid>{97360449-a8ea-4e14-8887-7288cdb174a6}</b:Guid>
    <b:Title>Development and multi-institutional validation of the Swin transformer model for prediction of spontaneous passage of ureteral calculi: A retrospective multicentric study</b:Title>
    <b:Year>2025</b:Year>
    <b:JournalName>Urolithiasis, 53(1)</b:JournalName>
    <b:URL>https://doi.org/10.1007/s00240-025-01887-x</b:URL>
    <b:DOI>10.1007/s00240-025-01887-x</b:DOI>
    <b:Author>
      <b:Author>
        <b:NameList>
          <b:Person>
            <b:Last>Lin Y.</b:Last>
          </b:Person>
          <b:Person>
            <b:Last>Li Z.</b:Last>
          </b:Person>
          <b:Person>
            <b:Last>Li Z.</b:Last>
          </b:Person>
          <b:Person>
            <b:Last>Li G.</b:Last>
          </b:Person>
          <b:Person>
            <b:Last>Liu X.</b:Last>
          </b:Person>
          <b:Person>
            <b:Last>Cai W.</b:Last>
          </b:Person>
          <b:Person>
            <b:Last>Xie Z.</b:Last>
          </b:Person>
          <b:Person>
            <b:Last>Chen J.</b:Last>
          </b:Person>
          <b:Person>
            <b:Last>Zhang Y.</b:Last>
          </b:Person>
          <b:Person>
            <b:Last>Pen X.</b:Last>
          </b:Person>
          <b:Person>
            <b:Last>Zhang Y.</b:Last>
          </b:Person>
          <b:Person>
            <b:Last>Chen C.</b:Last>
          </b:Person>
        </b:NameList>
      </b:Author>
    </b:Author>
  </b:Source>
  <b:Source>
    <b:Tag>Ref9</b:Tag>
    <b:SourceType>JournalArticle</b:SourceType>
    <b:Guid>{72bd661b-f22a-43d2-8c5a-89b67b984d60}</b:Guid>
    <b:Title>FMTW-SAM: Foreground mixing and temporally weighted SAM feature fusion for cross-domain semi-supervised segmentation of type-B aortic dissection in computed tomography angiography</b:Title>
    <b:Year>2026</b:Year>
    <b:JournalName>Neurocomputing</b:JournalName>
    <b:URL>https://doi.org/10.1016/j.neucom.2026.133758</b:URL>
    <b:DOI>10.1016/j.neucom.2026.133758</b:DOI>
    <b:Author>
      <b:Author>
        <b:NameList>
          <b:Person>
            <b:Last>Cai Wenjie</b:Last>
          </b:Person>
          <b:Person>
            <b:Last>Liu Nianping</b:Last>
          </b:Person>
          <b:Person>
            <b:Last>Zhang Hongjie</b:Last>
          </b:Person>
          <b:Person>
            <b:Last>Zhai Jia</b:Last>
          </b:Person>
          <b:Person>
            <b:Last>Wang Qingfeng</b:Last>
          </b:Person>
          <b:Person>
            <b:Last>Zhou Ying Gang</b:Last>
          </b:Person>
          <b:Person>
            <b:Last>Kong Lingming</b:Last>
          </b:Person>
          <b:Person>
            <b:Last>Li Jing</b:Last>
          </b:Person>
        </b:NameList>
      </b:Author>
    </b:Author>
  </b:Source>
  <b:Source>
    <b:Tag>Ref10</b:Tag>
    <b:SourceType>JournalArticle</b:SourceType>
    <b:Guid>{29f9d418-cfde-4f59-889e-ce2be628fba6}</b:Guid>
    <b:Title>AI-based diagnosis of acute aortic syndrome from noncontrast CT</b:Title>
    <b:Year>2025</b:Year>
    <b:JournalName>Nature Medicine</b:JournalName>
    <b:URL>https://doi.org/10.1038/s41591-025-03916-z</b:URL>
    <b:DOI>10.1038/s41591-025-03916-z</b:DOI>
    <b:Author>
      <b:Author>
        <b:NameList>
          <b:Person>
            <b:Last>Hu Yujian</b:Last>
          </b:Person>
          <b:Person>
            <b:Last>Xiang Yilang</b:Last>
          </b:Person>
          <b:Person>
            <b:Last>Zhou Yan-Jie</b:Last>
          </b:Person>
          <b:Person>
            <b:Last>He Yangyan</b:Last>
          </b:Person>
          <b:Person>
            <b:Last>Lang Dehai</b:Last>
          </b:Person>
          <b:Person>
            <b:Last>Yang Shifeng</b:Last>
          </b:Person>
          <b:Person>
            <b:Last>Du Xiaolong</b:Last>
          </b:Person>
          <b:Person>
            <b:Last>Den Chunlan</b:Last>
          </b:Person>
          <b:Person>
            <b:Last>Xu Youyao</b:Last>
          </b:Person>
          <b:Person>
            <b:Last>Wang Gaofeng</b:Last>
          </b:Person>
          <b:Person>
            <b:Last>Ding Zhengyao</b:Last>
          </b:Person>
          <b:Person>
            <b:Last>Huang Jingyong</b:Last>
          </b:Person>
        </b:NameList>
      </b:Author>
    </b:Author>
  </b:Source>
  <b:Source>
    <b:Tag>Ref11</b:Tag>
    <b:SourceType>JournalArticle</b:SourceType>
    <b:Guid>{4ece527b-1433-4b1e-8a76-3c61a90b1d5e}</b:Guid>
    <b:Title>Deep learning-based prediction of acute pancreatitis severity from abdominal CT with multicenter external validation</b:Title>
    <b:Year>2026</b:Year>
    <b:JournalName>Radiology Advances</b:JournalName>
    <b:URL>https://doi.org/10.1093/radadv/umag020</b:URL>
    <b:DOI>10.1093/radadv/umag020</b:DOI>
    <b:Author>
      <b:Author>
        <b:NameList>
          <b:Person>
            <b:Last>Xu Yanqi</b:Last>
          </b:Person>
          <b:Person>
            <b:Last>Teutsch Brigitta</b:Last>
          </b:Person>
          <b:Person>
            <b:Last>Zeng Weicheng</b:Last>
          </b:Person>
          <b:Person>
            <b:Last>Hu Yang</b:Last>
          </b:Person>
          <b:Person>
            <b:Last>Rastogi Shikhar</b:Last>
          </b:Person>
          <b:Person>
            <b:Last>Hu Emmy Yuebi</b:Last>
          </b:Person>
          <b:Person>
            <b:Last>DeGregorio Isabella Mary</b:Last>
          </b:Person>
          <b:Person>
            <b:Last>Chui Wan Fung</b:Last>
          </b:Person>
          <b:Person>
            <b:Last>Richter Benjamin I</b:Last>
          </b:Person>
          <b:Person>
            <b:Last>Cummings Ryan</b:Last>
          </b:Person>
          <b:Person>
            <b:Last>Goldberg Julia E.</b:Last>
          </b:Person>
          <b:Person>
            <b:Last>Mathieu Edwin</b:Last>
          </b:Person>
        </b:NameList>
      </b:Author>
    </b:Author>
  </b:Source>
  <b:Source>
    <b:Tag>Ref12</b:Tag>
    <b:SourceType>JournalArticle</b:SourceType>
    <b:Guid>{d70922bc-63fc-488b-a619-4ae75a6723ee}</b:Guid>
    <b:Title>Development and validation of automated three-dimensional convolutional neural network model for acute appendicitis diagnosis</b:Title>
    <b:Year>2025</b:Year>
    <b:JournalName>Scientific Reports</b:JournalName>
    <b:URL>https://doi.org/10.1038/s41598-024-84348-6</b:URL>
    <b:DOI>10.1038/s41598-024-84348-6</b:DOI>
    <b:Author>
      <b:Author>
        <b:NameList>
          <b:Person>
            <b:Last>Kim Minsung</b:Last>
          </b:Person>
          <b:Person>
            <b:Last>Park Taeyong</b:Last>
          </b:Person>
          <b:Person>
            <b:Last>Kang Jaewoong</b:Last>
          </b:Person>
          <b:Person>
            <b:Last>Kim Min-Jeong</b:Last>
          </b:Person>
          <b:Person>
            <b:Last>Kwon Mi Jung</b:Last>
          </b:Person>
          <b:Person>
            <b:Last>Oh Bo Young</b:Last>
          </b:Person>
          <b:Person>
            <b:Last>Kim Jong Wan</b:Last>
          </b:Person>
          <b:Person>
            <b:Last>Ha Sangook</b:Last>
          </b:Person>
          <b:Person>
            <b:Last>Yang Won Seok</b:Last>
          </b:Person>
          <b:Person>
            <b:Last>Cho Bum‐Joo</b:Last>
          </b:Person>
          <b:Person>
            <b:Last>Son Iltae</b:Last>
          </b:Person>
        </b:NameList>
      </b:Author>
    </b:Author>
  </b:Source>
  <b:Source>
    <b:Tag>Ref13</b:Tag>
    <b:SourceType>JournalArticle</b:SourceType>
    <b:Guid>{19335154-6528-4f62-af42-930ae7477b0d}</b:Guid>
    <b:Title>Disease Detection in Abdominal CT Images Using the YOLOv5 Algorithm: A Deep Learning Approach</b:Title>
    <b:Year>2024</b:Year>
    <b:JournalName>Konferans bildirisi (IEEE)</b:JournalName>
    <b:URL>https://ieeexplore.ieee.org/document/10639613/</b:URL>
    <b:Author>
      <b:Author>
        <b:NameList>
          <b:Person>
            <b:Last>Koçer Sabri</b:Last>
          </b:Person>
          <b:Person>
            <b:Last>Mohamed Omar</b:Last>
          </b:Person>
          <b:Person>
            <b:Last>Dündar Özgür</b:Last>
          </b:Person>
        </b:NameList>
      </b:Author>
    </b:Author>
  </b:Source>
  <b:Source>
    <b:Tag>Ref14</b:Tag>
    <b:SourceType>JournalArticle</b:SourceType>
    <b:Guid>{6bfd0e3c-9345-46aa-89dc-f125f4c0ac3e}</b:Guid>
    <b:Title>Focal Loss for Dense Object Detection</b:Title>
    <b:Year>2017</b:Year>
    <b:JournalName>Proceedings of the IEEE International Conference on Computer Vision (ICCV)</b:JournalName>
    <b:URL>https://doi.org/10.1109/ICCV.2017.324</b:URL>
    <b:DOI>10.1109/ICCV.2017.324</b:DOI>
    <b:Author>
      <b:Author>
        <b:NameList>
          <b:Person>
            <b:Last>Lin T.-Y.</b:Last>
          </b:Person>
          <b:Person>
            <b:Last>Goyal P.</b:Last>
          </b:Person>
          <b:Person>
            <b:Last>Girshick R.</b:Last>
          </b:Person>
          <b:Person>
            <b:Last>He K.</b:Last>
          </b:Person>
          <b:Person>
            <b:Last>Dollár P.</b:Last>
          </b:Person>
        </b:NameList>
      </b:Author>
    </b:Author>
  </b:Source>
  <b:Source>
    <b:Tag>Ref15</b:Tag>
    <b:SourceType>JournalArticle</b:SourceType>
    <b:Guid>{ac2d27bd-cc62-458d-9958-23af12e6bc5d}</b:Guid>
    <b:Title>Swin Transformer: Hierarchical Vision Transformer using Shifted Windows</b:Title>
    <b:Year>2021</b:Year>
    <b:JournalName>Proceedings of the IEEE/CVF International Conference on Computer Vision (ICCV)</b:JournalName>
    <b:Author>
      <b:Author>
        <b:NameList>
          <b:Person>
            <b:Last>Liu Z.</b:Last>
          </b:Person>
          <b:Person>
            <b:Last>Lin Y.</b:Last>
          </b:Person>
          <b:Person>
            <b:Last>Cao Y.</b:Last>
          </b:Person>
          <b:Person>
            <b:Last>Hu H.</b:Last>
          </b:Person>
        </b:NameList>
      </b:Author>
    </b:Author>
  </b:Source>
  <b:Source>
    <b:Tag>Ref16</b:Tag>
    <b:SourceType>JournalArticle</b:SourceType>
    <b:Guid>{7e005900-df7b-4e83-8a32-3f60e66827ca}</b:Guid>
    <b:Title>ConvNeXt V2: Co-designing and Scaling ConvNets with Masked Autoencoders</b:Title>
    <b:Year>2023</b:Year>
    <b:JournalName>Proceedings of the IEEE/CVF Conference on Computer Vision and Pattern Recognition (CVPR)</b:JournalName>
    <b:Author>
      <b:Author>
        <b:NameList>
          <b:Person>
            <b:Last>Woo S.</b:Last>
          </b:Person>
          <b:Person>
            <b:Last>Debnath S.</b:Last>
          </b:Person>
          <b:Person>
            <b:Last>Hu R.</b:Last>
          </b:Person>
          <b:Person>
            <b:Last>Chen X.</b:Last>
          </b:Person>
        </b:NameList>
      </b:Author>
    </b:Author>
  </b:Source>
  <b:Source>
    <b:Tag>Ref17</b:Tag>
    <b:SourceType>JournalArticle</b:SourceType>
    <b:Guid>{518bf48e-1b4f-409b-8998-1dea9eb41cd6}</b:Guid>
    <b:Title>DINOv2: Learning Robust Visual Features without Supervision</b:Title>
    <b:Year>2024</b:Year>
    <b:JournalName>Transactions on Machine Learning Research (TMLR)</b:JournalName>
    <b:Author>
      <b:Author>
        <b:NameList>
          <b:Person>
            <b:Last>Oquab M.</b:Last>
          </b:Person>
          <b:Person>
            <b:Last>Darcet T.</b:Last>
          </b:Person>
          <b:Person>
            <b:Last>Moutakanni T.</b:Last>
          </b:Person>
          <b:Person>
            <b:Last>Vo H.</b:Last>
          </b:Person>
        </b:NameList>
      </b:Author>
    </b:Author>
  </b:Source>
  <b:Source>
    <b:Tag>Ref18</b:Tag>
    <b:SourceType>JournalArticle</b:SourceType>
    <b:Guid>{be6bbccd-e871-47bf-88f9-fc676f5ef701}</b:Guid>
    <b:Title>EVA-02: A Visual Representation for Neon Genesis</b:Title>
    <b:Year>2023</b:Year>
    <b:JournalName>arXiv</b:JournalName>
    <b:Author>
      <b:Author>
        <b:NameList>
          <b:Person>
            <b:Last>Fang Y.</b:Last>
          </b:Person>
          <b:Person>
            <b:Last>Sun Q.</b:Last>
          </b:Person>
          <b:Person>
            <b:Last>Wang X.</b:Last>
          </b:Person>
          <b:Person>
            <b:Last>Huang T.</b:Last>
          </b:Person>
        </b:NameList>
      </b:Author>
    </b:Author>
  </b:Source>
  <b:Source>
    <b:Tag>Ref19</b:Tag>
    <b:SourceType>JournalArticle</b:SourceType>
    <b:Guid>{6aa467b0-37d4-4ba2-a02a-9001e5604938}</b:Guid>
    <b:Title>On Calibration of Modern Neural Networks</b:Title>
    <b:Year>2017</b:Year>
    <b:JournalName>Proceedings of the 34th International Conference on Machine Learning (ICML)</b:JournalName>
    <b:Author>
      <b:Author>
        <b:NameList>
          <b:Person>
            <b:Last>Guo C.</b:Last>
          </b:Person>
          <b:Person>
            <b:Last>Pleiss G.</b:Last>
          </b:Person>
          <b:Person>
            <b:Last>Sun Y.</b:Last>
          </b:Person>
          <b:Person>
            <b:Last>Weinberger K. Q.</b:Last>
          </b:Person>
        </b:NameList>
      </b:Author>
    </b:Author>
  </b:Source>
  <b:Source>
    <b:Tag>Ref20</b:Tag>
    <b:SourceType>JournalArticle</b:SourceType>
    <b:Guid>{52eecc75-b558-4fad-889e-2fc0d168edae}</b:Guid>
    <b:Title>Acil Abdominal Patolojilerin BT'de Tespiti için Çok-Sınıflı Bir Karşılaştırma: Veri Seti, Protokol ve Temel Sonuçlar</b:Title>
    <b:Year>2026</b:Year>
    <b:JournalName>(Makale 1, bu seri)</b:JournalName>
    <b:Author>
      <b:Author>
        <b:NameList>
          <b:Person>
            <b:Last>[Yazar Adları]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1A936B0C-F75A-406E-A972-715FAD8F1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2026-06-14T20:38:36Z</dcterms:created>
  <dcterms:modified xsi:type="dcterms:W3CDTF">2026-06-14T20:38:36Z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