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560"/>
        <w:jc w:val="center"/>
      </w:pPr>
      <w:r>
        <w:rPr>
          <w:b/>
          <w:bCs/>
          <w:color w:val="2E75B6"/>
          <w:sz w:val="28"/>
          <w:szCs w:val="28"/>
        </w:rPr>
        <w:t xml:space="preserve">DOKTORA TEZİ ÖNERİSİ</w:t>
      </w:r>
    </w:p>
    <w:p>
      <w:pPr>
        <w:spacing w:after="420"/>
        <w:jc w:val="center"/>
      </w:pPr>
      <w:r>
        <w:rPr>
          <w:color w:val="595959"/>
          <w:sz w:val="22"/>
          <w:szCs w:val="22"/>
        </w:rPr>
        <w:t xml:space="preserve">(Araştırma Protokolü)</w:t>
      </w:r>
    </w:p>
    <w:p>
      <w:pPr>
        <w:spacing w:after="220" w:before="200"/>
        <w:jc w:val="center"/>
      </w:pPr>
      <w:r>
        <w:rPr>
          <w:b/>
          <w:bCs/>
          <w:color w:val="1F3864"/>
          <w:sz w:val="32"/>
          <w:szCs w:val="32"/>
        </w:rPr>
        <w:t xml:space="preserve">Öz-Denetimli CT-MAE ile Ön-Eğitilmiş, Anatomi-Koşullu Çok-Patolojili Acil Batın BT Tespit ve Triyaj Modeli</w:t>
      </w:r>
    </w:p>
    <w:p>
      <w:pPr>
        <w:spacing w:after="520"/>
        <w:jc w:val="center"/>
      </w:pPr>
      <w:r>
        <w:rPr>
          <w:i/>
          <w:iCs/>
          <w:color w:val="2E75B6"/>
          <w:sz w:val="23"/>
          <w:szCs w:val="23"/>
        </w:rPr>
        <w:t xml:space="preserve">TR-Abdomen Veri Seti: Boundary-Slice (Organ Sınır Kesiti) Rehberli Zayıf Denetim ile Geliştirme ve Doğrulama</w:t>
      </w:r>
    </w:p>
    <w:tbl>
      <w:tblPr>
        <w:tblW w:type="dxa" w:w="9026"/>
        <w:tblBorders>
          <w:top w:val="single" w:color="BFBFBF" w:sz="1"/>
          <w:left w:val="single" w:color="BFBFBF" w:sz="1"/>
          <w:bottom w:val="single" w:color="BFBFBF" w:sz="1"/>
          <w:right w:val="single" w:color="BFBFBF" w:sz="1"/>
          <w:insideH w:val="single" w:color="BFBFBF" w:sz="1"/>
          <w:insideV w:val="single" w:color="BFBFBF" w:sz="1"/>
        </w:tblBorders>
      </w:tblPr>
      <w:tblGrid>
        <w:gridCol w:w="2600"/>
        <w:gridCol w:w="6426"/>
      </w:tblGrid>
      <w:tr>
        <w:tc>
          <w:tcPr>
            <w:tcW w:type="dxa" w:w="2600"/>
            <w:shd w:fill="D9E2F3" w:val="clear"/>
            <w:tcMar>
              <w:top w:type="dxa" w:w="60"/>
              <w:left w:type="dxa" w:w="100"/>
              <w:bottom w:type="dxa" w:w="60"/>
              <w:right w:type="dxa" w:w="100"/>
            </w:tcMar>
          </w:tcPr>
          <w:p>
            <w:pPr>
              <w:spacing w:after="20" w:line="250"/>
              <w:jc w:val="left"/>
            </w:pPr>
            <w:r>
              <w:rPr>
                <w:b/>
                <w:bCs/>
                <w:color w:val="000000"/>
                <w:sz w:val="19"/>
                <w:szCs w:val="19"/>
              </w:rPr>
              <w:t xml:space="preserve">Aday</w:t>
            </w:r>
          </w:p>
        </w:tc>
        <w:tc>
          <w:tcPr>
            <w:tcW w:type="dxa" w:w="6426"/>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Ramazan</w:t>
            </w:r>
          </w:p>
        </w:tc>
      </w:tr>
      <w:tr>
        <w:tc>
          <w:tcPr>
            <w:tcW w:type="dxa" w:w="2600"/>
            <w:shd w:fill="D9E2F3" w:val="clear"/>
            <w:tcMar>
              <w:top w:type="dxa" w:w="60"/>
              <w:left w:type="dxa" w:w="100"/>
              <w:bottom w:type="dxa" w:w="60"/>
              <w:right w:type="dxa" w:w="100"/>
            </w:tcMar>
          </w:tcPr>
          <w:p>
            <w:pPr>
              <w:spacing w:after="20" w:line="250"/>
              <w:jc w:val="left"/>
            </w:pPr>
            <w:r>
              <w:rPr>
                <w:b/>
                <w:bCs/>
                <w:color w:val="000000"/>
                <w:sz w:val="19"/>
                <w:szCs w:val="19"/>
              </w:rPr>
              <w:t xml:space="preserve">Tez türü</w:t>
            </w:r>
          </w:p>
        </w:tc>
        <w:tc>
          <w:tcPr>
            <w:tcW w:type="dxa" w:w="6426"/>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Doktora tezi önerisi / araştırma protokolü</w:t>
            </w:r>
          </w:p>
        </w:tc>
      </w:tr>
      <w:tr>
        <w:tc>
          <w:tcPr>
            <w:tcW w:type="dxa" w:w="2600"/>
            <w:shd w:fill="D9E2F3" w:val="clear"/>
            <w:tcMar>
              <w:top w:type="dxa" w:w="60"/>
              <w:left w:type="dxa" w:w="100"/>
              <w:bottom w:type="dxa" w:w="60"/>
              <w:right w:type="dxa" w:w="100"/>
            </w:tcMar>
          </w:tcPr>
          <w:p>
            <w:pPr>
              <w:spacing w:after="20" w:line="250"/>
              <w:jc w:val="left"/>
            </w:pPr>
            <w:r>
              <w:rPr>
                <w:b/>
                <w:bCs/>
                <w:color w:val="000000"/>
                <w:sz w:val="19"/>
                <w:szCs w:val="19"/>
              </w:rPr>
              <w:t xml:space="preserve">Alan</w:t>
            </w:r>
          </w:p>
        </w:tc>
        <w:tc>
          <w:tcPr>
            <w:tcW w:type="dxa" w:w="6426"/>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Tıbbi görüntü analizi · Derin öğrenme · Acil radyoloji</w:t>
            </w:r>
          </w:p>
        </w:tc>
      </w:tr>
      <w:tr>
        <w:tc>
          <w:tcPr>
            <w:tcW w:type="dxa" w:w="2600"/>
            <w:shd w:fill="D9E2F3" w:val="clear"/>
            <w:tcMar>
              <w:top w:type="dxa" w:w="60"/>
              <w:left w:type="dxa" w:w="100"/>
              <w:bottom w:type="dxa" w:w="60"/>
              <w:right w:type="dxa" w:w="100"/>
            </w:tcMar>
          </w:tcPr>
          <w:p>
            <w:pPr>
              <w:spacing w:after="20" w:line="250"/>
              <w:jc w:val="left"/>
            </w:pPr>
            <w:r>
              <w:rPr>
                <w:b/>
                <w:bCs/>
                <w:color w:val="000000"/>
                <w:sz w:val="19"/>
                <w:szCs w:val="19"/>
              </w:rPr>
              <w:t xml:space="preserve">Veri seti</w:t>
            </w:r>
          </w:p>
        </w:tc>
        <w:tc>
          <w:tcPr>
            <w:tcW w:type="dxa" w:w="6426"/>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TR-Abdomen (TEKNOFEST temelli çok-patolojili acil batın BT'si)</w:t>
            </w:r>
          </w:p>
        </w:tc>
      </w:tr>
      <w:tr>
        <w:tc>
          <w:tcPr>
            <w:tcW w:type="dxa" w:w="2600"/>
            <w:shd w:fill="D9E2F3" w:val="clear"/>
            <w:tcMar>
              <w:top w:type="dxa" w:w="60"/>
              <w:left w:type="dxa" w:w="100"/>
              <w:bottom w:type="dxa" w:w="60"/>
              <w:right w:type="dxa" w:w="100"/>
            </w:tcMar>
          </w:tcPr>
          <w:p>
            <w:pPr>
              <w:spacing w:after="20" w:line="250"/>
              <w:jc w:val="left"/>
            </w:pPr>
            <w:r>
              <w:rPr>
                <w:b/>
                <w:bCs/>
                <w:color w:val="000000"/>
                <w:sz w:val="19"/>
                <w:szCs w:val="19"/>
              </w:rPr>
              <w:t xml:space="preserve">Çekirdek katkı</w:t>
            </w:r>
          </w:p>
        </w:tc>
        <w:tc>
          <w:tcPr>
            <w:tcW w:type="dxa" w:w="6426"/>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Boundary-slice rehberli anatomi-koşullu zayıf denetim + öz-denetimli CT-MAE kodlayıcı</w:t>
            </w:r>
          </w:p>
        </w:tc>
      </w:tr>
      <w:tr>
        <w:tc>
          <w:tcPr>
            <w:tcW w:type="dxa" w:w="2600"/>
            <w:shd w:fill="D9E2F3" w:val="clear"/>
            <w:tcMar>
              <w:top w:type="dxa" w:w="60"/>
              <w:left w:type="dxa" w:w="100"/>
              <w:bottom w:type="dxa" w:w="60"/>
              <w:right w:type="dxa" w:w="100"/>
            </w:tcMar>
          </w:tcPr>
          <w:p>
            <w:pPr>
              <w:spacing w:after="20" w:line="250"/>
              <w:jc w:val="left"/>
            </w:pPr>
            <w:r>
              <w:rPr>
                <w:b/>
                <w:bCs/>
                <w:color w:val="000000"/>
                <w:sz w:val="19"/>
                <w:szCs w:val="19"/>
              </w:rPr>
              <w:t xml:space="preserve">Mevcut temel</w:t>
            </w:r>
          </w:p>
        </w:tc>
        <w:tc>
          <w:tcPr>
            <w:tcW w:type="dxa" w:w="6426"/>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191 çalışmalık sistematik kapsam belirleme incelemesi (2021–2026) + benchmark/yöntem kod iskeleti (modeller henüz eğitilip test edilmedi)</w:t>
            </w:r>
          </w:p>
        </w:tc>
      </w:tr>
      <w:tr>
        <w:tc>
          <w:tcPr>
            <w:tcW w:type="dxa" w:w="2600"/>
            <w:shd w:fill="D9E2F3" w:val="clear"/>
            <w:tcMar>
              <w:top w:type="dxa" w:w="60"/>
              <w:left w:type="dxa" w:w="100"/>
              <w:bottom w:type="dxa" w:w="60"/>
              <w:right w:type="dxa" w:w="100"/>
            </w:tcMar>
          </w:tcPr>
          <w:p>
            <w:pPr>
              <w:spacing w:after="20" w:line="250"/>
              <w:jc w:val="left"/>
            </w:pPr>
            <w:r>
              <w:rPr>
                <w:b/>
                <w:bCs/>
                <w:color w:val="000000"/>
                <w:sz w:val="19"/>
                <w:szCs w:val="19"/>
              </w:rPr>
              <w:t xml:space="preserve">Değerlendirme</w:t>
            </w:r>
          </w:p>
        </w:tc>
        <w:tc>
          <w:tcPr>
            <w:tcW w:type="dxa" w:w="6426"/>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Prospektif okuyucu çalışması yapılmayacak; referans anotasyonlarla otomatik değerlendirme</w:t>
            </w:r>
          </w:p>
        </w:tc>
      </w:tr>
      <w:tr>
        <w:tc>
          <w:tcPr>
            <w:tcW w:type="dxa" w:w="2600"/>
            <w:shd w:fill="D9E2F3" w:val="clear"/>
            <w:tcMar>
              <w:top w:type="dxa" w:w="60"/>
              <w:left w:type="dxa" w:w="100"/>
              <w:bottom w:type="dxa" w:w="60"/>
              <w:right w:type="dxa" w:w="100"/>
            </w:tcMar>
          </w:tcPr>
          <w:p>
            <w:pPr>
              <w:spacing w:after="20" w:line="250"/>
              <w:jc w:val="left"/>
            </w:pPr>
            <w:r>
              <w:rPr>
                <w:b/>
                <w:bCs/>
                <w:color w:val="000000"/>
                <w:sz w:val="19"/>
                <w:szCs w:val="19"/>
              </w:rPr>
              <w:t xml:space="preserve">Tarih</w:t>
            </w:r>
          </w:p>
        </w:tc>
        <w:tc>
          <w:tcPr>
            <w:tcW w:type="dxa" w:w="6426"/>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Haziran 2026</w:t>
            </w:r>
          </w:p>
        </w:tc>
      </w:tr>
    </w:tbl>
    <w:p>
      <w:r>
        <w:br w:type="page"/>
      </w:r>
    </w:p>
    <w:p>
      <w:pPr>
        <w:pStyle w:val="Heading1"/>
      </w:pPr>
      <w: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Yönetici Özeti</w:t>
      </w:r>
    </w:p>
    <w:p>
      <w:pPr>
        <w:spacing w:after="140" w:line="276"/>
        <w:jc w:val="both"/>
      </w:pPr>
      <w:r>
        <w:t xml:space="preserve">Bu öneri, acil servise karın ağrısı ile başvuran hastaların batın bilgisayarlı tomografisi (BT) görüntülerinde birden çok akut patolojiyi tek bir model çatısı altında saptayan, önceliklendiren ve kararını belirsizlik tahminiyle güvenli biçimde sunan birleşik bir derin öğrenme çerçevesinin geliştirilmesini önerir. Çalışma, 2021–2026 dönemini kapsayan ve 191 çalışmayı nihai analize alan bir sistematik kapsam belirleme incelemesine (scoping review), kamuya açık ve çok-patolojili nitelikteki TR-Abdomen veri setine ve bu öneri kapsamında kurgulanmış ancak henüz eğitilip test edilmemiş bir benchmark/yöntem kod altyapısına dayanmaktadır.</w:t>
      </w:r>
    </w:p>
    <w:p>
      <w:pPr>
        <w:pBdr>
          <w:left w:val="single" w:color="E8A800" w:sz="18" w:space="8"/>
        </w:pBdr>
        <w:shd w:fill="FFF2CC" w:val="clear"/>
        <w:spacing w:after="160" w:before="80" w:line="276"/>
        <w:jc w:val="both"/>
      </w:pPr>
      <w:r>
        <w:rPr>
          <w:b/>
          <w:bCs/>
          <w:sz w:val="19"/>
          <w:szCs w:val="19"/>
        </w:rPr>
        <w:t xml:space="preserve">Durum notu: </w:t>
      </w:r>
      <w:r>
        <w:rPr>
          <w:sz w:val="19"/>
          <w:szCs w:val="19"/>
        </w:rPr>
        <w:t xml:space="preserve">Mevcut benchmark ve yöntem taslakları yer-tutucu (dummy) değerlerle hazırlanmıştır; modeller henüz eğitilmemiş ve test edilmemiştir. Bu nedenle bu öneride sayısal model performansı bildirilmez; metrik yapısı ve beklenen çıktı biçimi gösterilir, gerçek değerler eğitim sonrası doldurulacaktır. Ayrıca bu tez kapsamında prospektif okuyucu (radyolog) çalışması yapılmayacak; değerlendirme tümüyle otomatik olarak veri setinin referans anotasyonlarına dayalı yürütülecektir.</w:t>
      </w:r>
    </w:p>
    <w:p>
      <w:pPr>
        <w:spacing w:after="140" w:line="276"/>
        <w:jc w:val="both"/>
      </w:pPr>
      <w:r>
        <w:t xml:space="preserve">Taramanın ortaya koyduğu en belirgin boşluk, literatürün ezici çoğunluğunun </w:t>
      </w:r>
      <w:r>
        <w:rPr>
          <w:b/>
          <w:bCs/>
        </w:rPr>
        <w:t xml:space="preserve">tek bir patolojiye</w:t>
      </w:r>
      <w:r>
        <w:t xml:space="preserve"> odaklanmasıdır; oysa acil serviste BT yorumlamanın doğası gereği </w:t>
      </w:r>
      <w:r>
        <w:rPr>
          <w:b/>
          <w:bCs/>
        </w:rPr>
        <w:t xml:space="preserve">birden çok olası tanıyı aynı anda dışlama ve önceliklendirme</w:t>
      </w:r>
      <w:r>
        <w:t xml:space="preserve"> problemi söz konusudur. İncelenen 191 çalışmanın yalnızca üçü çok-patolojilidir; harici doğrulama (%25,1), açık kod (%4,2) ve klinik iş akışına yerleştirme tüm gruplarda zayıftır.</w:t>
      </w:r>
    </w:p>
    <w:p>
      <w:pPr>
        <w:spacing w:after="140" w:line="276"/>
        <w:jc w:val="both"/>
      </w:pPr>
      <w:r>
        <w:t xml:space="preserve">Önerilen çerçevenin dört bileşeni vardır: (i) kendi BT hacimlerimizdeki yüz binlerce </w:t>
      </w:r>
      <w:r>
        <w:rPr>
          <w:b/>
          <w:bCs/>
        </w:rPr>
        <w:t xml:space="preserve">etiketsiz dilim üzerinde öz-denetimli CT-MAE ön-eğitimi</w:t>
      </w:r>
      <w:r>
        <w:t xml:space="preserve"> ile alana-özgü güçlü bir kodlayıcı; (ii) tezin ana özgün çekirdeği olan, organ </w:t>
      </w:r>
      <w:r>
        <w:rPr>
          <w:b/>
          <w:bCs/>
        </w:rPr>
        <w:t xml:space="preserve">sınır kesiti (boundary-slice) etiketleriyle anatomi-koşullu zayıf denetimli</w:t>
      </w:r>
      <w:r>
        <w:t xml:space="preserve"> çok-patolojili tespit; (iii) belirsizlik kestirimi ve seçici tahminle güvenli karar katmanı ve etiket-temelli triyaj; (iv) genellenebilirliğin ve </w:t>
      </w:r>
      <w:r>
        <w:rPr>
          <w:b/>
          <w:bCs/>
        </w:rPr>
        <w:t xml:space="preserve">etiket-verimliliğinin</w:t>
      </w:r>
      <w:r>
        <w:t xml:space="preserve"> tümüyle otomatik, sızıntısız değerlendirmesi.</w:t>
      </w:r>
    </w:p>
    <w:p>
      <w:pPr>
        <w:pStyle w:val="Heading1"/>
      </w:pPr>
      <w:r>
        <w:t xml:space="preserve">1. Giriş ve Problem Tanımı</w:t>
      </w:r>
    </w:p>
    <w:p>
      <w:pPr>
        <w:spacing w:after="140" w:line="276"/>
        <w:jc w:val="both"/>
      </w:pPr>
      <w:r>
        <w:t xml:space="preserve">Akut karın ağrısı, acil servis başvurularının en sık nedenlerinden biridir ve altında akut apandisit, akut kolesistit, akut pankreatit, ürolitiyazis, akut divertikülit ile abdominal/torasik aort anevrizması/diseksiyonu gibi tanı ve tedavi aciliyeti yüksek, birbirinden çok farklı klinik gidişlere sahip durumlar yatabilir. Bu hastalarda tanının hızı ve doğruluğu doğrudan triyaj, tedavi ve sağkalımı etkiler; batın BT'si bu sürecin merkezindeki görüntüleme yöntemidir.</w:t>
      </w:r>
    </w:p>
    <w:p>
      <w:pPr>
        <w:spacing w:after="140" w:line="276"/>
        <w:jc w:val="both"/>
      </w:pPr>
      <w:r>
        <w:t xml:space="preserve">Derin öğrenme tabanlı yapay zekâ son beş yılda bu alanda hızla yaygınlaşmıştır; ancak çalışmalar büyük ölçüde tek bir organ veya tek bir patoloji etrafında, birbirinden kopuk veri setleri ve değerlendirme protokolleriyle yürütülmektedir. Klinik gerçeklik ise tersinedir: tek bir görüntü serisinde aynı anda çok sayıda olası patolojiyi değerlendirmek, dışlamak ve hayati olanı önceliklendirmek gerekir. Bu uyumsuzluk, mevcut modellerin acil servis pratiğine aktarılmasının önündeki temel engeldir.</w:t>
      </w:r>
    </w:p>
    <w:p>
      <w:pPr>
        <w:spacing w:after="140" w:line="276"/>
        <w:jc w:val="both"/>
      </w:pPr>
      <w:r>
        <w:t xml:space="preserve">Bu tez, söz konusu boşluğu doğrudan hedefleyen </w:t>
      </w:r>
      <w:r>
        <w:rPr>
          <w:b/>
          <w:bCs/>
        </w:rPr>
        <w:t xml:space="preserve">TR-Abdomen</w:t>
      </w:r>
      <w:r>
        <w:t xml:space="preserve"> veri setinin sunduğu fırsatı değerlendirir: aynı görüntüleme protokolü içinde altı ana acil batın patolojisini birlikte etiketleyen, çok-patolojili ve çok-görevli bir kaynaktır. Veri setinde patoloji kutularının yanı sıra </w:t>
      </w:r>
      <w:r>
        <w:rPr>
          <w:b/>
          <w:bCs/>
        </w:rPr>
        <w:t xml:space="preserve">organ sınır kesiti (boundary-slice)</w:t>
      </w:r>
      <w:r>
        <w:t xml:space="preserve"> etiketleri de bulunur; tez bu etiketleri çoğu çalışmanın aksine atmaz, anatomik denetim sinyali olarak kullanır. Etiketli vaka sayısı sınırlı olduğundan (1.092 vaka), bol miktardaki etiketsiz dilim öz-denetimli ön-eğitimle değerlendirilir. Değerlendirme tümüyle otomatik olup veri setinin referans anotasyonlarına dayanır.</w:t>
      </w:r>
    </w:p>
    <w:p>
      <w:pPr>
        <w:pStyle w:val="Heading1"/>
      </w:pPr>
      <w:r>
        <w:t xml:space="preserve">2. Literatür Özeti ve Sistematik Boşluk Analizi</w:t>
      </w:r>
    </w:p>
    <w:p>
      <w:pPr>
        <w:pStyle w:val="Heading2"/>
      </w:pPr>
      <w:r>
        <w:t xml:space="preserve">2.1. Taramanın Kapsamı</w:t>
      </w:r>
    </w:p>
    <w:p>
      <w:pPr>
        <w:spacing w:after="140" w:line="276"/>
        <w:jc w:val="both"/>
      </w:pPr>
      <w:r>
        <w:t xml:space="preserve">2021–2026 dönemini kapsayan sistematik tarama PubMed/MEDLINE, arXiv, IEEE Xplore, Scopus ve Web of Science kaynaklarından toplam 2.159 ham kayıtla başlamış; tekilleştirme sonrası 1.203 kayda inmiş ve PRISMA-ScR ile JBI ilkelerine uygun başlık/özet ve tam metin değerlendirmesi sonunda 191 çalışma nihai analize dahil edilmiştir. Görev dağılımı saptama (n=92), sınıflandırma (n=88), öngörü (n=85) ve bölütleme (n=73) çevresinde yoğunlaşmıştır.</w:t>
      </w:r>
    </w:p>
    <w:p>
      <w:pPr>
        <w:pStyle w:val="Heading2"/>
      </w:pPr>
      <w:r>
        <w:t xml:space="preserve">2.2. Patoloji Bazlı Dağılım ve Kanıt Olgunluğu</w:t>
      </w:r>
    </w:p>
    <w:tbl>
      <w:tblPr>
        <w:tblW w:type="dxa" w:w="9026"/>
        <w:tblBorders>
          <w:top w:val="single" w:color="BFBFBF" w:sz="1"/>
          <w:left w:val="single" w:color="BFBFBF" w:sz="1"/>
          <w:bottom w:val="single" w:color="BFBFBF" w:sz="1"/>
          <w:right w:val="single" w:color="BFBFBF" w:sz="1"/>
          <w:insideH w:val="single" w:color="BFBFBF" w:sz="1"/>
          <w:insideV w:val="single" w:color="BFBFBF" w:sz="1"/>
        </w:tblBorders>
      </w:tblPr>
      <w:tblGrid>
        <w:gridCol w:w="3200"/>
        <w:gridCol w:w="1500"/>
        <w:gridCol w:w="2200"/>
        <w:gridCol w:w="2126"/>
      </w:tblGrid>
      <w:tr>
        <w:trPr>
          <w:tblHeader/>
        </w:trPr>
        <w:tc>
          <w:tcPr>
            <w:tcW w:type="dxa" w:w="3200"/>
            <w:shd w:fill="1F3864" w:val="clear"/>
            <w:tcMar>
              <w:top w:type="dxa" w:w="60"/>
              <w:left w:type="dxa" w:w="100"/>
              <w:bottom w:type="dxa" w:w="60"/>
              <w:right w:type="dxa" w:w="100"/>
            </w:tcMar>
          </w:tcPr>
          <w:p>
            <w:pPr>
              <w:spacing w:after="20" w:line="250"/>
              <w:jc w:val="center"/>
            </w:pPr>
            <w:r>
              <w:rPr>
                <w:b/>
                <w:bCs/>
                <w:color w:val="FFFFFF"/>
                <w:sz w:val="19"/>
                <w:szCs w:val="19"/>
              </w:rPr>
              <w:t xml:space="preserve">Patoloji grubu</w:t>
            </w:r>
          </w:p>
        </w:tc>
        <w:tc>
          <w:tcPr>
            <w:tcW w:type="dxa" w:w="1500"/>
            <w:shd w:fill="1F3864" w:val="clear"/>
            <w:tcMar>
              <w:top w:type="dxa" w:w="60"/>
              <w:left w:type="dxa" w:w="100"/>
              <w:bottom w:type="dxa" w:w="60"/>
              <w:right w:type="dxa" w:w="100"/>
            </w:tcMar>
          </w:tcPr>
          <w:p>
            <w:pPr>
              <w:spacing w:after="20" w:line="250"/>
              <w:jc w:val="center"/>
            </w:pPr>
            <w:r>
              <w:rPr>
                <w:b/>
                <w:bCs/>
                <w:color w:val="FFFFFF"/>
                <w:sz w:val="19"/>
                <w:szCs w:val="19"/>
              </w:rPr>
              <w:t xml:space="preserve">Çalışma (n)</w:t>
            </w:r>
          </w:p>
        </w:tc>
        <w:tc>
          <w:tcPr>
            <w:tcW w:type="dxa" w:w="2200"/>
            <w:shd w:fill="1F3864" w:val="clear"/>
            <w:tcMar>
              <w:top w:type="dxa" w:w="60"/>
              <w:left w:type="dxa" w:w="100"/>
              <w:bottom w:type="dxa" w:w="60"/>
              <w:right w:type="dxa" w:w="100"/>
            </w:tcMar>
          </w:tcPr>
          <w:p>
            <w:pPr>
              <w:spacing w:after="20" w:line="250"/>
              <w:jc w:val="center"/>
            </w:pPr>
            <w:r>
              <w:rPr>
                <w:b/>
                <w:bCs/>
                <w:color w:val="FFFFFF"/>
                <w:sz w:val="19"/>
                <w:szCs w:val="19"/>
              </w:rPr>
              <w:t xml:space="preserve">Harici doğrulama</w:t>
            </w:r>
          </w:p>
        </w:tc>
        <w:tc>
          <w:tcPr>
            <w:tcW w:type="dxa" w:w="2126"/>
            <w:shd w:fill="1F3864" w:val="clear"/>
            <w:tcMar>
              <w:top w:type="dxa" w:w="60"/>
              <w:left w:type="dxa" w:w="100"/>
              <w:bottom w:type="dxa" w:w="60"/>
              <w:right w:type="dxa" w:w="100"/>
            </w:tcMar>
          </w:tcPr>
          <w:p>
            <w:pPr>
              <w:spacing w:after="20" w:line="250"/>
              <w:jc w:val="center"/>
            </w:pPr>
            <w:r>
              <w:rPr>
                <w:b/>
                <w:bCs/>
                <w:color w:val="FFFFFF"/>
                <w:sz w:val="19"/>
                <w:szCs w:val="19"/>
              </w:rPr>
              <w:t xml:space="preserve">Baskın görev / not</w:t>
            </w:r>
          </w:p>
        </w:tc>
      </w:tr>
      <w:tr>
        <w:tc>
          <w:tcPr>
            <w:tcW w:type="dxa" w:w="3200"/>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Ürolitiyazis / nefrolitiyazis</w:t>
            </w:r>
          </w:p>
        </w:tc>
        <w:tc>
          <w:tcPr>
            <w:tcW w:type="dxa" w:w="1500"/>
            <w:shd w:fill="FFFFFF" w:val="clear"/>
            <w:tcMar>
              <w:top w:type="dxa" w:w="60"/>
              <w:left w:type="dxa" w:w="100"/>
              <w:bottom w:type="dxa" w:w="60"/>
              <w:right w:type="dxa" w:w="100"/>
            </w:tcMar>
          </w:tcPr>
          <w:p>
            <w:pPr>
              <w:spacing w:after="20" w:line="250"/>
              <w:jc w:val="center"/>
            </w:pPr>
            <w:r>
              <w:rPr>
                <w:b w:val="false"/>
                <w:bCs w:val="false"/>
                <w:color w:val="000000"/>
                <w:sz w:val="19"/>
                <w:szCs w:val="19"/>
              </w:rPr>
              <w:t xml:space="preserve">80</w:t>
            </w:r>
          </w:p>
        </w:tc>
        <w:tc>
          <w:tcPr>
            <w:tcW w:type="dxa" w:w="2200"/>
            <w:shd w:fill="FFFFFF" w:val="clear"/>
            <w:tcMar>
              <w:top w:type="dxa" w:w="60"/>
              <w:left w:type="dxa" w:w="100"/>
              <w:bottom w:type="dxa" w:w="60"/>
              <w:right w:type="dxa" w:w="100"/>
            </w:tcMar>
          </w:tcPr>
          <w:p>
            <w:pPr>
              <w:spacing w:after="20" w:line="250"/>
              <w:jc w:val="center"/>
            </w:pPr>
            <w:r>
              <w:rPr>
                <w:b w:val="false"/>
                <w:bCs w:val="false"/>
                <w:color w:val="000000"/>
                <w:sz w:val="19"/>
                <w:szCs w:val="19"/>
              </w:rPr>
              <w:t xml:space="preserve">11 / 80 (%13,8)</w:t>
            </w:r>
          </w:p>
        </w:tc>
        <w:tc>
          <w:tcPr>
            <w:tcW w:type="dxa" w:w="2126"/>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Saptama + sınıflandırma; nicel güçlü, genellenebilirlik zayıf</w:t>
            </w:r>
          </w:p>
        </w:tc>
      </w:tr>
      <w:tr>
        <w:tc>
          <w:tcPr>
            <w:tcW w:type="dxa" w:w="3200"/>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Aort patolojileri (abdominal/torasik)</w:t>
            </w:r>
          </w:p>
        </w:tc>
        <w:tc>
          <w:tcPr>
            <w:tcW w:type="dxa" w:w="1500"/>
            <w:shd w:fill="F2F2F2" w:val="clear"/>
            <w:tcMar>
              <w:top w:type="dxa" w:w="60"/>
              <w:left w:type="dxa" w:w="100"/>
              <w:bottom w:type="dxa" w:w="60"/>
              <w:right w:type="dxa" w:w="100"/>
            </w:tcMar>
          </w:tcPr>
          <w:p>
            <w:pPr>
              <w:spacing w:after="20" w:line="250"/>
              <w:jc w:val="center"/>
            </w:pPr>
            <w:r>
              <w:rPr>
                <w:b w:val="false"/>
                <w:bCs w:val="false"/>
                <w:color w:val="000000"/>
                <w:sz w:val="19"/>
                <w:szCs w:val="19"/>
              </w:rPr>
              <w:t xml:space="preserve">65</w:t>
            </w:r>
          </w:p>
        </w:tc>
        <w:tc>
          <w:tcPr>
            <w:tcW w:type="dxa" w:w="2200"/>
            <w:shd w:fill="F2F2F2" w:val="clear"/>
            <w:tcMar>
              <w:top w:type="dxa" w:w="60"/>
              <w:left w:type="dxa" w:w="100"/>
              <w:bottom w:type="dxa" w:w="60"/>
              <w:right w:type="dxa" w:w="100"/>
            </w:tcMar>
          </w:tcPr>
          <w:p>
            <w:pPr>
              <w:spacing w:after="20" w:line="250"/>
              <w:jc w:val="center"/>
            </w:pPr>
            <w:r>
              <w:rPr>
                <w:b w:val="false"/>
                <w:bCs w:val="false"/>
                <w:color w:val="000000"/>
                <w:sz w:val="19"/>
                <w:szCs w:val="19"/>
              </w:rPr>
              <w:t xml:space="preserve">24 / 65 (%36,9)</w:t>
            </w:r>
          </w:p>
        </w:tc>
        <w:tc>
          <w:tcPr>
            <w:tcW w:type="dxa" w:w="2126"/>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Segmentasyon, ölçüm, triyaj; en olgun alan</w:t>
            </w:r>
          </w:p>
        </w:tc>
      </w:tr>
      <w:tr>
        <w:tc>
          <w:tcPr>
            <w:tcW w:type="dxa" w:w="3200"/>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Akut pankreatit</w:t>
            </w:r>
          </w:p>
        </w:tc>
        <w:tc>
          <w:tcPr>
            <w:tcW w:type="dxa" w:w="1500"/>
            <w:shd w:fill="FFFFFF" w:val="clear"/>
            <w:tcMar>
              <w:top w:type="dxa" w:w="60"/>
              <w:left w:type="dxa" w:w="100"/>
              <w:bottom w:type="dxa" w:w="60"/>
              <w:right w:type="dxa" w:w="100"/>
            </w:tcMar>
          </w:tcPr>
          <w:p>
            <w:pPr>
              <w:spacing w:after="20" w:line="250"/>
              <w:jc w:val="center"/>
            </w:pPr>
            <w:r>
              <w:rPr>
                <w:b w:val="false"/>
                <w:bCs w:val="false"/>
                <w:color w:val="000000"/>
                <w:sz w:val="19"/>
                <w:szCs w:val="19"/>
              </w:rPr>
              <w:t xml:space="preserve">25</w:t>
            </w:r>
          </w:p>
        </w:tc>
        <w:tc>
          <w:tcPr>
            <w:tcW w:type="dxa" w:w="2200"/>
            <w:shd w:fill="FFFFFF" w:val="clear"/>
            <w:tcMar>
              <w:top w:type="dxa" w:w="60"/>
              <w:left w:type="dxa" w:w="100"/>
              <w:bottom w:type="dxa" w:w="60"/>
              <w:right w:type="dxa" w:w="100"/>
            </w:tcMar>
          </w:tcPr>
          <w:p>
            <w:pPr>
              <w:spacing w:after="20" w:line="250"/>
              <w:jc w:val="center"/>
            </w:pPr>
            <w:r>
              <w:rPr>
                <w:b w:val="false"/>
                <w:bCs w:val="false"/>
                <w:color w:val="000000"/>
                <w:sz w:val="19"/>
                <w:szCs w:val="19"/>
              </w:rPr>
              <w:t xml:space="preserve">7 / 25 (%28,0)</w:t>
            </w:r>
          </w:p>
        </w:tc>
        <w:tc>
          <w:tcPr>
            <w:tcW w:type="dxa" w:w="2126"/>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Şiddet/prognoz öngörüsü; heterojen uç noktalar</w:t>
            </w:r>
          </w:p>
        </w:tc>
      </w:tr>
      <w:tr>
        <w:tc>
          <w:tcPr>
            <w:tcW w:type="dxa" w:w="3200"/>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Akut apandisit</w:t>
            </w:r>
          </w:p>
        </w:tc>
        <w:tc>
          <w:tcPr>
            <w:tcW w:type="dxa" w:w="1500"/>
            <w:shd w:fill="F2F2F2" w:val="clear"/>
            <w:tcMar>
              <w:top w:type="dxa" w:w="60"/>
              <w:left w:type="dxa" w:w="100"/>
              <w:bottom w:type="dxa" w:w="60"/>
              <w:right w:type="dxa" w:w="100"/>
            </w:tcMar>
          </w:tcPr>
          <w:p>
            <w:pPr>
              <w:spacing w:after="20" w:line="250"/>
              <w:jc w:val="center"/>
            </w:pPr>
            <w:r>
              <w:rPr>
                <w:b w:val="false"/>
                <w:bCs w:val="false"/>
                <w:color w:val="000000"/>
                <w:sz w:val="19"/>
                <w:szCs w:val="19"/>
              </w:rPr>
              <w:t xml:space="preserve">12</w:t>
            </w:r>
          </w:p>
        </w:tc>
        <w:tc>
          <w:tcPr>
            <w:tcW w:type="dxa" w:w="2200"/>
            <w:shd w:fill="F2F2F2" w:val="clear"/>
            <w:tcMar>
              <w:top w:type="dxa" w:w="60"/>
              <w:left w:type="dxa" w:w="100"/>
              <w:bottom w:type="dxa" w:w="60"/>
              <w:right w:type="dxa" w:w="100"/>
            </w:tcMar>
          </w:tcPr>
          <w:p>
            <w:pPr>
              <w:spacing w:after="20" w:line="250"/>
              <w:jc w:val="center"/>
            </w:pPr>
            <w:r>
              <w:rPr>
                <w:b w:val="false"/>
                <w:bCs w:val="false"/>
                <w:color w:val="000000"/>
                <w:sz w:val="19"/>
                <w:szCs w:val="19"/>
              </w:rPr>
              <w:t xml:space="preserve">4 / 12 (%33,3)</w:t>
            </w:r>
          </w:p>
        </w:tc>
        <w:tc>
          <w:tcPr>
            <w:tcW w:type="dxa" w:w="2126"/>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3D CNN ağırlıklı; sınırlı sayı</w:t>
            </w:r>
          </w:p>
        </w:tc>
      </w:tr>
      <w:tr>
        <w:tc>
          <w:tcPr>
            <w:tcW w:type="dxa" w:w="3200"/>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Akut kolesistit</w:t>
            </w:r>
          </w:p>
        </w:tc>
        <w:tc>
          <w:tcPr>
            <w:tcW w:type="dxa" w:w="1500"/>
            <w:shd w:fill="FFFFFF" w:val="clear"/>
            <w:tcMar>
              <w:top w:type="dxa" w:w="60"/>
              <w:left w:type="dxa" w:w="100"/>
              <w:bottom w:type="dxa" w:w="60"/>
              <w:right w:type="dxa" w:w="100"/>
            </w:tcMar>
          </w:tcPr>
          <w:p>
            <w:pPr>
              <w:spacing w:after="20" w:line="250"/>
              <w:jc w:val="center"/>
            </w:pPr>
            <w:r>
              <w:rPr>
                <w:b w:val="false"/>
                <w:bCs w:val="false"/>
                <w:color w:val="000000"/>
                <w:sz w:val="19"/>
                <w:szCs w:val="19"/>
              </w:rPr>
              <w:t xml:space="preserve">2</w:t>
            </w:r>
          </w:p>
        </w:tc>
        <w:tc>
          <w:tcPr>
            <w:tcW w:type="dxa" w:w="2200"/>
            <w:shd w:fill="FFFFFF" w:val="clear"/>
            <w:tcMar>
              <w:top w:type="dxa" w:w="60"/>
              <w:left w:type="dxa" w:w="100"/>
              <w:bottom w:type="dxa" w:w="60"/>
              <w:right w:type="dxa" w:w="100"/>
            </w:tcMar>
          </w:tcPr>
          <w:p>
            <w:pPr>
              <w:spacing w:after="20" w:line="250"/>
              <w:jc w:val="center"/>
            </w:pPr>
            <w:r>
              <w:rPr>
                <w:b w:val="false"/>
                <w:bCs w:val="false"/>
                <w:color w:val="000000"/>
                <w:sz w:val="19"/>
                <w:szCs w:val="19"/>
              </w:rPr>
              <w:t xml:space="preserve">2 / 2 (%100)</w:t>
            </w:r>
          </w:p>
        </w:tc>
        <w:tc>
          <w:tcPr>
            <w:tcW w:type="dxa" w:w="2126"/>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Çok az çalışma; kanıt boşluğu</w:t>
            </w:r>
          </w:p>
        </w:tc>
      </w:tr>
      <w:tr>
        <w:tc>
          <w:tcPr>
            <w:tcW w:type="dxa" w:w="3200"/>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Akut divertikülit</w:t>
            </w:r>
          </w:p>
        </w:tc>
        <w:tc>
          <w:tcPr>
            <w:tcW w:type="dxa" w:w="1500"/>
            <w:shd w:fill="F2F2F2" w:val="clear"/>
            <w:tcMar>
              <w:top w:type="dxa" w:w="60"/>
              <w:left w:type="dxa" w:w="100"/>
              <w:bottom w:type="dxa" w:w="60"/>
              <w:right w:type="dxa" w:w="100"/>
            </w:tcMar>
          </w:tcPr>
          <w:p>
            <w:pPr>
              <w:spacing w:after="20" w:line="250"/>
              <w:jc w:val="center"/>
            </w:pPr>
            <w:r>
              <w:rPr>
                <w:b w:val="false"/>
                <w:bCs w:val="false"/>
                <w:color w:val="000000"/>
                <w:sz w:val="19"/>
                <w:szCs w:val="19"/>
              </w:rPr>
              <w:t xml:space="preserve">4</w:t>
            </w:r>
          </w:p>
        </w:tc>
        <w:tc>
          <w:tcPr>
            <w:tcW w:type="dxa" w:w="2200"/>
            <w:shd w:fill="F2F2F2" w:val="clear"/>
            <w:tcMar>
              <w:top w:type="dxa" w:w="60"/>
              <w:left w:type="dxa" w:w="100"/>
              <w:bottom w:type="dxa" w:w="60"/>
              <w:right w:type="dxa" w:w="100"/>
            </w:tcMar>
          </w:tcPr>
          <w:p>
            <w:pPr>
              <w:spacing w:after="20" w:line="250"/>
              <w:jc w:val="center"/>
            </w:pPr>
            <w:r>
              <w:rPr>
                <w:b w:val="false"/>
                <w:bCs w:val="false"/>
                <w:color w:val="000000"/>
                <w:sz w:val="19"/>
                <w:szCs w:val="19"/>
              </w:rPr>
              <w:t xml:space="preserve">0 / 4 (%0)</w:t>
            </w:r>
          </w:p>
        </w:tc>
        <w:tc>
          <w:tcPr>
            <w:tcW w:type="dxa" w:w="2126"/>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Çoğunlukla lokalizasyon/ayırıcı tanı</w:t>
            </w:r>
          </w:p>
        </w:tc>
      </w:tr>
      <w:tr>
        <w:tc>
          <w:tcPr>
            <w:tcW w:type="dxa" w:w="3200"/>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Çok-patolojili çalışmalar</w:t>
            </w:r>
          </w:p>
        </w:tc>
        <w:tc>
          <w:tcPr>
            <w:tcW w:type="dxa" w:w="1500"/>
            <w:shd w:fill="FFFFFF" w:val="clear"/>
            <w:tcMar>
              <w:top w:type="dxa" w:w="60"/>
              <w:left w:type="dxa" w:w="100"/>
              <w:bottom w:type="dxa" w:w="60"/>
              <w:right w:type="dxa" w:w="100"/>
            </w:tcMar>
          </w:tcPr>
          <w:p>
            <w:pPr>
              <w:spacing w:after="20" w:line="250"/>
              <w:jc w:val="center"/>
            </w:pPr>
            <w:r>
              <w:rPr>
                <w:b w:val="false"/>
                <w:bCs w:val="false"/>
                <w:color w:val="000000"/>
                <w:sz w:val="19"/>
                <w:szCs w:val="19"/>
              </w:rPr>
              <w:t xml:space="preserve">3</w:t>
            </w:r>
          </w:p>
        </w:tc>
        <w:tc>
          <w:tcPr>
            <w:tcW w:type="dxa" w:w="2200"/>
            <w:shd w:fill="FFFFFF" w:val="clear"/>
            <w:tcMar>
              <w:top w:type="dxa" w:w="60"/>
              <w:left w:type="dxa" w:w="100"/>
              <w:bottom w:type="dxa" w:w="60"/>
              <w:right w:type="dxa" w:w="100"/>
            </w:tcMar>
          </w:tcPr>
          <w:p>
            <w:pPr>
              <w:spacing w:after="20" w:line="250"/>
              <w:jc w:val="center"/>
            </w:pPr>
            <w:r>
              <w:rPr>
                <w:b w:val="false"/>
                <w:bCs w:val="false"/>
                <w:color w:val="000000"/>
                <w:sz w:val="19"/>
                <w:szCs w:val="19"/>
              </w:rPr>
              <w:t xml:space="preserve">0 / 3 (%0)</w:t>
            </w:r>
          </w:p>
        </w:tc>
        <w:tc>
          <w:tcPr>
            <w:tcW w:type="dxa" w:w="2126"/>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Klinik gerçekliğe en yakın, en az çalışılan</w:t>
            </w:r>
          </w:p>
        </w:tc>
      </w:tr>
    </w:tbl>
    <w:p>
      <w:pPr>
        <w:spacing w:after="180" w:before="60"/>
      </w:pPr>
      <w:r>
        <w:rPr>
          <w:i/>
          <w:iCs/>
          <w:color w:val="595959"/>
          <w:sz w:val="18"/>
          <w:szCs w:val="18"/>
        </w:rPr>
        <w:t xml:space="preserve">Tablo 1. Sistematik incelemeye dahil edilen 191 çalışmanın patoloji bazlı dağılımı ve harici doğrulama durumu (2021–2026). Buradaki sayılar literatürdeki çalışma sayılarıdır; veri setindeki sınıf büyüklükleriyle karıştırılmamalıdır (bkz. Bölüm 5).</w:t>
      </w:r>
    </w:p>
    <w:p>
      <w:pPr>
        <w:spacing w:after="140" w:line="276"/>
        <w:jc w:val="both"/>
      </w:pPr>
      <w:r>
        <w:t xml:space="preserve">Üç gözlem öne çıkar. Birincisi, çalışma yoğunluğu hedefin BT'de görece kolay tanımlanabilirliğiyle orantılıdır. İkincisi ve daha kritik olanı, </w:t>
      </w:r>
      <w:r>
        <w:rPr>
          <w:b/>
          <w:bCs/>
        </w:rPr>
        <w:t xml:space="preserve">çok-patolojili çalışma sayısının yalnızca üç olmasıdır</w:t>
      </w:r>
      <w:r>
        <w:t xml:space="preserve">. Üçüncüsü, raporlanan medyan performanslar çok yüksektir (AUC 0,94; F1 0,94); ancak genel harici doğrulama %25,1 ve açık kod %4,2 olduğundan bu değerler </w:t>
      </w:r>
      <w:r>
        <w:rPr>
          <w:b/>
          <w:bCs/>
        </w:rPr>
        <w:t xml:space="preserve">iyimserlik yanlılığı (optimism bias) ve sınırlı genellenebilirlik</w:t>
      </w:r>
      <w:r>
        <w:t xml:space="preserve"> kuşkusu doğurur.</w:t>
      </w:r>
    </w:p>
    <w:p>
      <w:pPr>
        <w:pStyle w:val="Heading2"/>
      </w:pPr>
      <w:r>
        <w:t xml:space="preserve">2.3. Tespit Edilen Araştırma Boşlukları</w:t>
      </w:r>
    </w:p>
    <w:tbl>
      <w:tblPr>
        <w:tblW w:type="dxa" w:w="9026"/>
        <w:tblBorders>
          <w:top w:val="single" w:color="BFBFBF" w:sz="1"/>
          <w:left w:val="single" w:color="BFBFBF" w:sz="1"/>
          <w:bottom w:val="single" w:color="BFBFBF" w:sz="1"/>
          <w:right w:val="single" w:color="BFBFBF" w:sz="1"/>
          <w:insideH w:val="single" w:color="BFBFBF" w:sz="1"/>
          <w:insideV w:val="single" w:color="BFBFBF" w:sz="1"/>
        </w:tblBorders>
      </w:tblPr>
      <w:tblGrid>
        <w:gridCol w:w="900"/>
        <w:gridCol w:w="3400"/>
        <w:gridCol w:w="4726"/>
      </w:tblGrid>
      <w:tr>
        <w:trPr>
          <w:tblHeader/>
        </w:trPr>
        <w:tc>
          <w:tcPr>
            <w:tcW w:type="dxa" w:w="900"/>
            <w:shd w:fill="1F3864" w:val="clear"/>
            <w:tcMar>
              <w:top w:type="dxa" w:w="60"/>
              <w:left w:type="dxa" w:w="100"/>
              <w:bottom w:type="dxa" w:w="60"/>
              <w:right w:type="dxa" w:w="100"/>
            </w:tcMar>
          </w:tcPr>
          <w:p>
            <w:pPr>
              <w:spacing w:after="20" w:line="250"/>
              <w:jc w:val="center"/>
            </w:pPr>
            <w:r>
              <w:rPr>
                <w:b/>
                <w:bCs/>
                <w:color w:val="FFFFFF"/>
                <w:sz w:val="19"/>
                <w:szCs w:val="19"/>
              </w:rPr>
              <w:t xml:space="preserve">Kod</w:t>
            </w:r>
          </w:p>
        </w:tc>
        <w:tc>
          <w:tcPr>
            <w:tcW w:type="dxa" w:w="3400"/>
            <w:shd w:fill="1F3864" w:val="clear"/>
            <w:tcMar>
              <w:top w:type="dxa" w:w="60"/>
              <w:left w:type="dxa" w:w="100"/>
              <w:bottom w:type="dxa" w:w="60"/>
              <w:right w:type="dxa" w:w="100"/>
            </w:tcMar>
          </w:tcPr>
          <w:p>
            <w:pPr>
              <w:spacing w:after="20" w:line="250"/>
              <w:jc w:val="center"/>
            </w:pPr>
            <w:r>
              <w:rPr>
                <w:b/>
                <w:bCs/>
                <w:color w:val="FFFFFF"/>
                <w:sz w:val="19"/>
                <w:szCs w:val="19"/>
              </w:rPr>
              <w:t xml:space="preserve">Boşluk</w:t>
            </w:r>
          </w:p>
        </w:tc>
        <w:tc>
          <w:tcPr>
            <w:tcW w:type="dxa" w:w="4726"/>
            <w:shd w:fill="1F3864" w:val="clear"/>
            <w:tcMar>
              <w:top w:type="dxa" w:w="60"/>
              <w:left w:type="dxa" w:w="100"/>
              <w:bottom w:type="dxa" w:w="60"/>
              <w:right w:type="dxa" w:w="100"/>
            </w:tcMar>
          </w:tcPr>
          <w:p>
            <w:pPr>
              <w:spacing w:after="20" w:line="250"/>
              <w:jc w:val="center"/>
            </w:pPr>
            <w:r>
              <w:rPr>
                <w:b/>
                <w:bCs/>
                <w:color w:val="FFFFFF"/>
                <w:sz w:val="19"/>
                <w:szCs w:val="19"/>
              </w:rPr>
              <w:t xml:space="preserve">Bu tezde nasıl ele alınacağı</w:t>
            </w:r>
          </w:p>
        </w:tc>
      </w:tr>
      <w:tr>
        <w:tc>
          <w:tcPr>
            <w:tcW w:type="dxa" w:w="900"/>
            <w:shd w:fill="FFFFFF" w:val="clear"/>
            <w:tcMar>
              <w:top w:type="dxa" w:w="60"/>
              <w:left w:type="dxa" w:w="100"/>
              <w:bottom w:type="dxa" w:w="60"/>
              <w:right w:type="dxa" w:w="100"/>
            </w:tcMar>
          </w:tcPr>
          <w:p>
            <w:pPr>
              <w:spacing w:after="20" w:line="250"/>
              <w:jc w:val="center"/>
            </w:pPr>
            <w:r>
              <w:rPr>
                <w:b w:val="false"/>
                <w:bCs w:val="false"/>
                <w:color w:val="000000"/>
                <w:sz w:val="19"/>
                <w:szCs w:val="19"/>
              </w:rPr>
              <w:t xml:space="preserve">G1</w:t>
            </w:r>
          </w:p>
        </w:tc>
        <w:tc>
          <w:tcPr>
            <w:tcW w:type="dxa" w:w="3400"/>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Tek-patoloji silo problemi: 191 çalışmanın yalnızca 3'ü çok-patolojili</w:t>
            </w:r>
          </w:p>
        </w:tc>
        <w:tc>
          <w:tcPr>
            <w:tcW w:type="dxa" w:w="4726"/>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Birleşik çok-patolojili tek model (Bölüm C)</w:t>
            </w:r>
          </w:p>
        </w:tc>
      </w:tr>
      <w:tr>
        <w:tc>
          <w:tcPr>
            <w:tcW w:type="dxa" w:w="900"/>
            <w:shd w:fill="F2F2F2" w:val="clear"/>
            <w:tcMar>
              <w:top w:type="dxa" w:w="60"/>
              <w:left w:type="dxa" w:w="100"/>
              <w:bottom w:type="dxa" w:w="60"/>
              <w:right w:type="dxa" w:w="100"/>
            </w:tcMar>
          </w:tcPr>
          <w:p>
            <w:pPr>
              <w:spacing w:after="20" w:line="250"/>
              <w:jc w:val="center"/>
            </w:pPr>
            <w:r>
              <w:rPr>
                <w:b w:val="false"/>
                <w:bCs w:val="false"/>
                <w:color w:val="000000"/>
                <w:sz w:val="19"/>
                <w:szCs w:val="19"/>
              </w:rPr>
              <w:t xml:space="preserve">G2</w:t>
            </w:r>
          </w:p>
        </w:tc>
        <w:tc>
          <w:tcPr>
            <w:tcW w:type="dxa" w:w="3400"/>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Harici doğrulama/genellenebilirlik eksikliği (genel %25,1)</w:t>
            </w:r>
          </w:p>
        </w:tc>
        <w:tc>
          <w:tcPr>
            <w:tcW w:type="dxa" w:w="4726"/>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Tabakalı çapraz doğrulama + ayrık iç test + cihaz-kısayolu kontrolü + public (harici) genişletme (Bölüm E)</w:t>
            </w:r>
          </w:p>
        </w:tc>
      </w:tr>
      <w:tr>
        <w:tc>
          <w:tcPr>
            <w:tcW w:type="dxa" w:w="900"/>
            <w:shd w:fill="FFFFFF" w:val="clear"/>
            <w:tcMar>
              <w:top w:type="dxa" w:w="60"/>
              <w:left w:type="dxa" w:w="100"/>
              <w:bottom w:type="dxa" w:w="60"/>
              <w:right w:type="dxa" w:w="100"/>
            </w:tcMar>
          </w:tcPr>
          <w:p>
            <w:pPr>
              <w:spacing w:after="20" w:line="250"/>
              <w:jc w:val="center"/>
            </w:pPr>
            <w:r>
              <w:rPr>
                <w:b w:val="false"/>
                <w:bCs w:val="false"/>
                <w:color w:val="000000"/>
                <w:sz w:val="19"/>
                <w:szCs w:val="19"/>
              </w:rPr>
              <w:t xml:space="preserve">G3</w:t>
            </w:r>
          </w:p>
        </w:tc>
        <w:tc>
          <w:tcPr>
            <w:tcW w:type="dxa" w:w="3400"/>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Açık veri/kod ve tekrarlanabilirlik çok düşük (açık kod %4,2); etiketli veri pahalı/az</w:t>
            </w:r>
          </w:p>
        </w:tc>
        <w:tc>
          <w:tcPr>
            <w:tcW w:type="dxa" w:w="4726"/>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Açık protokol + öz-denetimli ön-eğitim ile etiket-verimliliği (Bölüm A, C)</w:t>
            </w:r>
          </w:p>
        </w:tc>
      </w:tr>
      <w:tr>
        <w:tc>
          <w:tcPr>
            <w:tcW w:type="dxa" w:w="900"/>
            <w:shd w:fill="F2F2F2" w:val="clear"/>
            <w:tcMar>
              <w:top w:type="dxa" w:w="60"/>
              <w:left w:type="dxa" w:w="100"/>
              <w:bottom w:type="dxa" w:w="60"/>
              <w:right w:type="dxa" w:w="100"/>
            </w:tcMar>
          </w:tcPr>
          <w:p>
            <w:pPr>
              <w:spacing w:after="20" w:line="250"/>
              <w:jc w:val="center"/>
            </w:pPr>
            <w:r>
              <w:rPr>
                <w:b w:val="false"/>
                <w:bCs w:val="false"/>
                <w:color w:val="000000"/>
                <w:sz w:val="19"/>
                <w:szCs w:val="19"/>
              </w:rPr>
              <w:t xml:space="preserve">G4</w:t>
            </w:r>
          </w:p>
        </w:tc>
        <w:tc>
          <w:tcPr>
            <w:tcW w:type="dxa" w:w="3400"/>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Sınıf dengesizliği: veri setinde nadir sınıflar (divertikülit, apandisit)</w:t>
            </w:r>
          </w:p>
        </w:tc>
        <w:tc>
          <w:tcPr>
            <w:tcW w:type="dxa" w:w="4726"/>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Ağırlıklı örnekleme + eşik optimizasyonu + küçük-lezyon odaklı artırım (Bölüm B, C)</w:t>
            </w:r>
          </w:p>
        </w:tc>
      </w:tr>
      <w:tr>
        <w:tc>
          <w:tcPr>
            <w:tcW w:type="dxa" w:w="900"/>
            <w:shd w:fill="FFFFFF" w:val="clear"/>
            <w:tcMar>
              <w:top w:type="dxa" w:w="60"/>
              <w:left w:type="dxa" w:w="100"/>
              <w:bottom w:type="dxa" w:w="60"/>
              <w:right w:type="dxa" w:w="100"/>
            </w:tcMar>
          </w:tcPr>
          <w:p>
            <w:pPr>
              <w:spacing w:after="20" w:line="250"/>
              <w:jc w:val="center"/>
            </w:pPr>
            <w:r>
              <w:rPr>
                <w:b w:val="false"/>
                <w:bCs w:val="false"/>
                <w:color w:val="000000"/>
                <w:sz w:val="19"/>
                <w:szCs w:val="19"/>
              </w:rPr>
              <w:t xml:space="preserve">G5</w:t>
            </w:r>
          </w:p>
        </w:tc>
        <w:tc>
          <w:tcPr>
            <w:tcW w:type="dxa" w:w="3400"/>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Klinik iş akışı ve triyaj önceliklendirme mantığı yok</w:t>
            </w:r>
          </w:p>
        </w:tc>
        <w:tc>
          <w:tcPr>
            <w:tcW w:type="dxa" w:w="4726"/>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Etiket-temelli aciliyet referansına göre otomatik önceliklendirme (Bölüm D)</w:t>
            </w:r>
          </w:p>
        </w:tc>
      </w:tr>
      <w:tr>
        <w:tc>
          <w:tcPr>
            <w:tcW w:type="dxa" w:w="900"/>
            <w:shd w:fill="F2F2F2" w:val="clear"/>
            <w:tcMar>
              <w:top w:type="dxa" w:w="60"/>
              <w:left w:type="dxa" w:w="100"/>
              <w:bottom w:type="dxa" w:w="60"/>
              <w:right w:type="dxa" w:w="100"/>
            </w:tcMar>
          </w:tcPr>
          <w:p>
            <w:pPr>
              <w:spacing w:after="20" w:line="250"/>
              <w:jc w:val="center"/>
            </w:pPr>
            <w:r>
              <w:rPr>
                <w:b w:val="false"/>
                <w:bCs w:val="false"/>
                <w:color w:val="000000"/>
                <w:sz w:val="19"/>
                <w:szCs w:val="19"/>
              </w:rPr>
              <w:t xml:space="preserve">G6</w:t>
            </w:r>
          </w:p>
        </w:tc>
        <w:tc>
          <w:tcPr>
            <w:tcW w:type="dxa" w:w="3400"/>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Belirsizlik ve kalibrasyon nadiren ele alınmış</w:t>
            </w:r>
          </w:p>
        </w:tc>
        <w:tc>
          <w:tcPr>
            <w:tcW w:type="dxa" w:w="4726"/>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Belirsizlik kestirimi + seçici tahmin (Bölüm D)</w:t>
            </w:r>
          </w:p>
        </w:tc>
      </w:tr>
      <w:tr>
        <w:tc>
          <w:tcPr>
            <w:tcW w:type="dxa" w:w="900"/>
            <w:shd w:fill="FFFFFF" w:val="clear"/>
            <w:tcMar>
              <w:top w:type="dxa" w:w="60"/>
              <w:left w:type="dxa" w:w="100"/>
              <w:bottom w:type="dxa" w:w="60"/>
              <w:right w:type="dxa" w:w="100"/>
            </w:tcMar>
          </w:tcPr>
          <w:p>
            <w:pPr>
              <w:spacing w:after="20" w:line="250"/>
              <w:jc w:val="center"/>
            </w:pPr>
            <w:r>
              <w:rPr>
                <w:b w:val="false"/>
                <w:bCs w:val="false"/>
                <w:color w:val="000000"/>
                <w:sz w:val="19"/>
                <w:szCs w:val="19"/>
              </w:rPr>
              <w:t xml:space="preserve">G7</w:t>
            </w:r>
          </w:p>
        </w:tc>
        <w:tc>
          <w:tcPr>
            <w:tcW w:type="dxa" w:w="3400"/>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Açıklanabilirlik çoğunlukla yüzeysel (post-hoc Grad-CAM)</w:t>
            </w:r>
          </w:p>
        </w:tc>
        <w:tc>
          <w:tcPr>
            <w:tcW w:type="dxa" w:w="4726"/>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Lezyon-düzeyi kutular + organ-temelli gerekçelendirme (Bölüm D)</w:t>
            </w:r>
          </w:p>
        </w:tc>
      </w:tr>
      <w:tr>
        <w:tc>
          <w:tcPr>
            <w:tcW w:type="dxa" w:w="900"/>
            <w:shd w:fill="F2F2F2" w:val="clear"/>
            <w:tcMar>
              <w:top w:type="dxa" w:w="60"/>
              <w:left w:type="dxa" w:w="100"/>
              <w:bottom w:type="dxa" w:w="60"/>
              <w:right w:type="dxa" w:w="100"/>
            </w:tcMar>
          </w:tcPr>
          <w:p>
            <w:pPr>
              <w:spacing w:after="20" w:line="250"/>
              <w:jc w:val="center"/>
            </w:pPr>
            <w:r>
              <w:rPr>
                <w:b w:val="false"/>
                <w:bCs w:val="false"/>
                <w:color w:val="000000"/>
                <w:sz w:val="19"/>
                <w:szCs w:val="19"/>
              </w:rPr>
              <w:t xml:space="preserve">G8</w:t>
            </w:r>
          </w:p>
        </w:tc>
        <w:tc>
          <w:tcPr>
            <w:tcW w:type="dxa" w:w="3400"/>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Çoğunluk 2D kesit düzeyinde; hasta-düzeyi hacimsel/anatomik bağlam zayıf</w:t>
            </w:r>
          </w:p>
        </w:tc>
        <w:tc>
          <w:tcPr>
            <w:tcW w:type="dxa" w:w="4726"/>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Anatomi-koşullu zayıf denetim + 2.5D→hasta MIL (Bölüm C)</w:t>
            </w:r>
          </w:p>
        </w:tc>
      </w:tr>
      <w:tr>
        <w:tc>
          <w:tcPr>
            <w:tcW w:type="dxa" w:w="900"/>
            <w:shd w:fill="FFFFFF" w:val="clear"/>
            <w:tcMar>
              <w:top w:type="dxa" w:w="60"/>
              <w:left w:type="dxa" w:w="100"/>
              <w:bottom w:type="dxa" w:w="60"/>
              <w:right w:type="dxa" w:w="100"/>
            </w:tcMar>
          </w:tcPr>
          <w:p>
            <w:pPr>
              <w:spacing w:after="20" w:line="250"/>
              <w:jc w:val="center"/>
            </w:pPr>
            <w:r>
              <w:rPr>
                <w:b w:val="false"/>
                <w:bCs w:val="false"/>
                <w:color w:val="000000"/>
                <w:sz w:val="19"/>
                <w:szCs w:val="19"/>
              </w:rPr>
              <w:t xml:space="preserve">G9</w:t>
            </w:r>
          </w:p>
        </w:tc>
        <w:tc>
          <w:tcPr>
            <w:tcW w:type="dxa" w:w="3400"/>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Yüksek performans + düşük harici doğrulama = iyimserlik yanlılığı</w:t>
            </w:r>
          </w:p>
        </w:tc>
        <w:tc>
          <w:tcPr>
            <w:tcW w:type="dxa" w:w="4726"/>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Maliyet-duyarlı eşik, kalibrasyon, sızıntısız değerlendirme (Bölüm B, D, E)</w:t>
            </w:r>
          </w:p>
        </w:tc>
      </w:tr>
      <w:tr>
        <w:tc>
          <w:tcPr>
            <w:tcW w:type="dxa" w:w="900"/>
            <w:shd w:fill="F2F2F2" w:val="clear"/>
            <w:tcMar>
              <w:top w:type="dxa" w:w="60"/>
              <w:left w:type="dxa" w:w="100"/>
              <w:bottom w:type="dxa" w:w="60"/>
              <w:right w:type="dxa" w:w="100"/>
            </w:tcMar>
          </w:tcPr>
          <w:p>
            <w:pPr>
              <w:spacing w:after="20" w:line="250"/>
              <w:jc w:val="center"/>
            </w:pPr>
            <w:r>
              <w:rPr>
                <w:b w:val="false"/>
                <w:bCs w:val="false"/>
                <w:color w:val="000000"/>
                <w:sz w:val="19"/>
                <w:szCs w:val="19"/>
              </w:rPr>
              <w:t xml:space="preserve">G10</w:t>
            </w:r>
          </w:p>
        </w:tc>
        <w:tc>
          <w:tcPr>
            <w:tcW w:type="dxa" w:w="3400"/>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Heterojen uç noktalar ve standart-dışı değerlendirme</w:t>
            </w:r>
          </w:p>
        </w:tc>
        <w:tc>
          <w:tcPr>
            <w:tcW w:type="dxa" w:w="4726"/>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Tek, açık ve çok-sınıflı değerlendirme protokolü (Bölüm A)</w:t>
            </w:r>
          </w:p>
        </w:tc>
      </w:tr>
    </w:tbl>
    <w:p>
      <w:pPr>
        <w:spacing w:after="180" w:before="60"/>
      </w:pPr>
      <w:r>
        <w:rPr>
          <w:i/>
          <w:iCs/>
          <w:color w:val="595959"/>
          <w:sz w:val="18"/>
          <w:szCs w:val="18"/>
        </w:rPr>
        <w:t xml:space="preserve">Tablo 2. Sistematik inceleme (n=191) + veri seti yapısı üzerinden çıkarılan araştırma boşlukları ve tezdeki karşılıkları.</w:t>
      </w:r>
    </w:p>
    <w:p>
      <w:pPr>
        <w:spacing w:after="140" w:line="276"/>
        <w:jc w:val="both"/>
      </w:pPr>
      <w:r>
        <w:rPr>
          <w:b/>
          <w:bCs/>
        </w:rPr>
        <w:t xml:space="preserve">Not: </w:t>
      </w:r>
      <w:r>
        <w:t xml:space="preserve">Literatürdeki bir başka zayıflık radyolog karşılaştırmalı okuyucu çalışmalarının azlığıdır. Bu tez kapsamında prospektif okuyucu çalışması yapılmayacağından söz konusu karşılaştırma kapsam dışıdır; değerlendirme veri setinin referans anotasyonlarına (referans standart) dayandırılmıştır.</w:t>
      </w:r>
    </w:p>
    <w:p>
      <w:pPr>
        <w:pStyle w:val="Heading1"/>
      </w:pPr>
      <w:r>
        <w:t xml:space="preserve">3. Araştırma Soruları ve Hipotezler</w:t>
      </w:r>
    </w:p>
    <w:p>
      <w:pPr>
        <w:pStyle w:val="Heading2"/>
      </w:pPr>
      <w:r>
        <w:t xml:space="preserve">3.1. Araştırma Soruları</w:t>
      </w:r>
    </w:p>
    <w:p>
      <w:pPr>
        <w:pStyle w:val="ListParagraph"/>
        <w:numPr>
          <w:ilvl w:val="0"/>
          <w:numId w:val="2"/>
        </w:numPr>
        <w:spacing w:after="80" w:line="276"/>
        <w:jc w:val="both"/>
      </w:pPr>
      <w:r>
        <w:t xml:space="preserve">AS1. Birden çok acil batın patolojisi, tek ve birleşik bir derin öğrenme modeliyle, ayrı tek-patoloji modellerine kıyasla en az aynı doğrulukla saptanabilir mi?</w:t>
      </w:r>
    </w:p>
    <w:p>
      <w:pPr>
        <w:pStyle w:val="ListParagraph"/>
        <w:numPr>
          <w:ilvl w:val="0"/>
          <w:numId w:val="2"/>
        </w:numPr>
        <w:spacing w:after="80" w:line="276"/>
        <w:jc w:val="both"/>
      </w:pPr>
      <w:r>
        <w:t xml:space="preserve">AS2. Organ sınır kesiti etiketleriyle anatomi-koşullu zayıf denetim, anatomik olarak imkânsız konumlardaki yanlış pozitifleri azaltıp nadir patolojilerde duyarlılığı artırır mı?</w:t>
      </w:r>
    </w:p>
    <w:p>
      <w:pPr>
        <w:pStyle w:val="ListParagraph"/>
        <w:numPr>
          <w:ilvl w:val="0"/>
          <w:numId w:val="2"/>
        </w:numPr>
        <w:spacing w:after="80" w:line="276"/>
        <w:jc w:val="both"/>
      </w:pPr>
      <w:r>
        <w:t xml:space="preserve">AS3. Belirsizlik kestirimi ve seçici tahmin, kabul edilebilir bir kapsama oranında yanlış pozitif/negatif yükünü anlamlı ölçüde azaltır mı?</w:t>
      </w:r>
    </w:p>
    <w:p>
      <w:pPr>
        <w:pStyle w:val="ListParagraph"/>
        <w:numPr>
          <w:ilvl w:val="0"/>
          <w:numId w:val="2"/>
        </w:numPr>
        <w:spacing w:after="80" w:line="276"/>
        <w:jc w:val="both"/>
      </w:pPr>
      <w:r>
        <w:t xml:space="preserve">AS4. Model çıktıları aciliyete göre güvenilir biçimde önceliklendirilebilir mi ve bu sıralama, veri setindeki referans patoloji etiketleriyle ne ölçüde tutarlıdır?</w:t>
      </w:r>
    </w:p>
    <w:p>
      <w:pPr>
        <w:pStyle w:val="ListParagraph"/>
        <w:numPr>
          <w:ilvl w:val="0"/>
          <w:numId w:val="2"/>
        </w:numPr>
        <w:spacing w:after="80" w:line="276"/>
        <w:jc w:val="both"/>
      </w:pPr>
      <w:r>
        <w:t xml:space="preserve">AS5. Geliştirilen model farklı bölünmelerde, ayrık iç test kümesinde ve halka açık (harici) veride genellenebilir mi; cihaz/protokol kısayolu öğrenmekten kaçınır mı?</w:t>
      </w:r>
    </w:p>
    <w:p>
      <w:pPr>
        <w:pStyle w:val="ListParagraph"/>
        <w:numPr>
          <w:ilvl w:val="0"/>
          <w:numId w:val="2"/>
        </w:numPr>
        <w:spacing w:after="80" w:line="276"/>
        <w:jc w:val="both"/>
      </w:pPr>
      <w:r>
        <w:t xml:space="preserve">AS6. Kendi BT hacimlerinden öz-denetimli CT-MAE ön-eğitimi, ImageNet veya sıfırdan başlatmaya kıyasla daha az etiketle ve nadir sınıflarda daha iyi performans sağlar mı?</w:t>
      </w:r>
    </w:p>
    <w:p>
      <w:pPr>
        <w:pStyle w:val="Heading2"/>
      </w:pPr>
      <w:r>
        <w:t xml:space="preserve">3.2. Hipotezler</w:t>
      </w:r>
    </w:p>
    <w:p>
      <w:pPr>
        <w:pStyle w:val="ListParagraph"/>
        <w:numPr>
          <w:ilvl w:val="0"/>
          <w:numId w:val="3"/>
        </w:numPr>
        <w:spacing w:after="80" w:line="276"/>
        <w:jc w:val="both"/>
      </w:pPr>
      <w:r>
        <w:rPr>
          <w:b/>
          <w:bCs/>
        </w:rPr>
        <w:t xml:space="preserve">H1 (G1): </w:t>
      </w:r>
      <w:r>
        <w:t xml:space="preserve">Birleşik çok-patolojili model, tek geçişte triyaj sağlarken ortalama F1'de tek-patoloji modellerine kıyasla geri kalmaz; ortak temsil az-veri patolojilerinde olumlu aktarım sağlar.</w:t>
      </w:r>
    </w:p>
    <w:p>
      <w:pPr>
        <w:pStyle w:val="ListParagraph"/>
        <w:numPr>
          <w:ilvl w:val="0"/>
          <w:numId w:val="3"/>
        </w:numPr>
        <w:spacing w:after="80" w:line="276"/>
        <w:jc w:val="both"/>
      </w:pPr>
      <w:r>
        <w:rPr>
          <w:b/>
          <w:bCs/>
        </w:rPr>
        <w:t xml:space="preserve">H2 (G7, G8): </w:t>
      </w:r>
      <w:r>
        <w:t xml:space="preserve">Sınır-kesiti etiketleriyle anatomi-koşullu zayıf denetim, yanlış pozitifleri azaltır ve nadir sınıflarda duyarlılığı artırır.</w:t>
      </w:r>
    </w:p>
    <w:p>
      <w:pPr>
        <w:pStyle w:val="ListParagraph"/>
        <w:numPr>
          <w:ilvl w:val="0"/>
          <w:numId w:val="3"/>
        </w:numPr>
        <w:spacing w:after="80" w:line="276"/>
        <w:jc w:val="both"/>
      </w:pPr>
      <w:r>
        <w:rPr>
          <w:b/>
          <w:bCs/>
        </w:rPr>
        <w:t xml:space="preserve">H3 (G6, G9): </w:t>
      </w:r>
      <w:r>
        <w:t xml:space="preserve">Belirsizliğe dayalı seçici tahmin, vakaların bir kısmını otomatik kararın dışına ayırarak kalan kararlarda hata oranını anlamlı düşürür (risk–kapsama eğrisinde iyileşme).</w:t>
      </w:r>
    </w:p>
    <w:p>
      <w:pPr>
        <w:pStyle w:val="ListParagraph"/>
        <w:numPr>
          <w:ilvl w:val="0"/>
          <w:numId w:val="3"/>
        </w:numPr>
        <w:spacing w:after="80" w:line="276"/>
        <w:jc w:val="both"/>
      </w:pPr>
      <w:r>
        <w:rPr>
          <w:b/>
          <w:bCs/>
        </w:rPr>
        <w:t xml:space="preserve">H4 (G4): </w:t>
      </w:r>
      <w:r>
        <w:t xml:space="preserve">Dengeleme + küçük-lezyon odaklı artırım, en nadir sınıflarda (divertikülit, apandisit) ve küçük lezyonlarda (ör. taş) recall'ı temel yapılandırmaya göre artırır.</w:t>
      </w:r>
    </w:p>
    <w:p>
      <w:pPr>
        <w:pStyle w:val="ListParagraph"/>
        <w:numPr>
          <w:ilvl w:val="0"/>
          <w:numId w:val="3"/>
        </w:numPr>
        <w:spacing w:after="80" w:line="276"/>
        <w:jc w:val="both"/>
      </w:pPr>
      <w:r>
        <w:rPr>
          <w:b/>
          <w:bCs/>
        </w:rPr>
        <w:t xml:space="preserve">H5 (G2): </w:t>
      </w:r>
      <w:r>
        <w:t xml:space="preserve">Anatomi-koşullu model ayrık iç test kümesinde sınırlı performans düşüşü gösterir; halka açık batın BT ile genişletilmiş ön-eğitim genellemeyi iyileştirir.</w:t>
      </w:r>
    </w:p>
    <w:p>
      <w:pPr>
        <w:pStyle w:val="ListParagraph"/>
        <w:numPr>
          <w:ilvl w:val="0"/>
          <w:numId w:val="3"/>
        </w:numPr>
        <w:spacing w:after="80" w:line="276"/>
        <w:jc w:val="both"/>
      </w:pPr>
      <w:r>
        <w:rPr>
          <w:b/>
          <w:bCs/>
        </w:rPr>
        <w:t xml:space="preserve">H6 (G3): </w:t>
      </w:r>
      <w:r>
        <w:t xml:space="preserve">Öz-denetimli CT-MAE ön-eğitimi, ImageNet'e kıyasla aynı performansı daha az etiketle (etiket-verimliliği) ve nadir sınıflarda daha yüksek recall ile sağlar; daha hızlı yakınsar ve daha iyi kalibre olur.</w:t>
      </w:r>
    </w:p>
    <w:p>
      <w:pPr>
        <w:pStyle w:val="Heading1"/>
      </w:pPr>
      <w:r>
        <w:t xml:space="preserve">4. Tezin Amacı ve Özgün Katkıları</w:t>
      </w:r>
    </w:p>
    <w:p>
      <w:pPr>
        <w:spacing w:after="140" w:line="276"/>
        <w:jc w:val="both"/>
      </w:pPr>
      <w:r>
        <w:t xml:space="preserve">Tezin genel amacı; acil batın BT'sinde çok-patolojili, hasta-düzeyinde karar veren, belirsizliğini bildiren ve aciliyeti önceliklendiren, açık ve tekrarlanabilir bir derin öğrenme çerçevesi geliştirmek ve veri setinin referans etiketlerine dayalı olarak doğrulamaktır. Özgün katkılar şunlardır:</w:t>
      </w:r>
    </w:p>
    <w:p>
      <w:pPr>
        <w:pStyle w:val="ListParagraph"/>
        <w:numPr>
          <w:ilvl w:val="0"/>
          <w:numId w:val="3"/>
        </w:numPr>
        <w:spacing w:after="80" w:line="276"/>
        <w:jc w:val="both"/>
      </w:pPr>
      <w:r>
        <w:t xml:space="preserve">K1 — Açık ve çok-sınıflı bir değerlendirme protokolü ve dört modelli bir başlangıç (benchmark) referansı (geliştirilecek).</w:t>
      </w:r>
    </w:p>
    <w:p>
      <w:pPr>
        <w:pStyle w:val="ListParagraph"/>
        <w:numPr>
          <w:ilvl w:val="0"/>
          <w:numId w:val="3"/>
        </w:numPr>
        <w:spacing w:after="80" w:line="276"/>
        <w:jc w:val="both"/>
      </w:pPr>
      <w:r>
        <w:t xml:space="preserve">K2 — Sınıf dengesizliğinin ele alınmasına yönelik, kalibrasyon ve eşik optimizasyonunu birleştiren sistematik bir yöntem.</w:t>
      </w:r>
    </w:p>
    <w:p>
      <w:pPr>
        <w:pStyle w:val="ListParagraph"/>
        <w:numPr>
          <w:ilvl w:val="0"/>
          <w:numId w:val="3"/>
        </w:numPr>
        <w:spacing w:after="80" w:line="276"/>
        <w:jc w:val="both"/>
      </w:pPr>
      <w:r>
        <w:rPr>
          <w:b/>
          <w:bCs/>
        </w:rPr>
        <w:t xml:space="preserve">K3 (ana çekirdek) — </w:t>
      </w:r>
      <w:r>
        <w:t xml:space="preserve">Organ sınır kesiti etiketleriyle anatomi-koşullu zayıf denetimli birleşik çok-patolojili tespit modeli.</w:t>
      </w:r>
    </w:p>
    <w:p>
      <w:pPr>
        <w:pStyle w:val="ListParagraph"/>
        <w:numPr>
          <w:ilvl w:val="0"/>
          <w:numId w:val="3"/>
        </w:numPr>
        <w:spacing w:after="80" w:line="276"/>
        <w:jc w:val="both"/>
      </w:pPr>
      <w:r>
        <w:rPr>
          <w:b/>
          <w:bCs/>
        </w:rPr>
        <w:t xml:space="preserve">K4 — </w:t>
      </w:r>
      <w:r>
        <w:t xml:space="preserve">Kendi BT hacimlerinden öz-denetimli CT-MAE / 2.5D kodlayıcı ön-eğitimi ve etiket-verimliliğinin gösterilmesi.</w:t>
      </w:r>
    </w:p>
    <w:p>
      <w:pPr>
        <w:pStyle w:val="ListParagraph"/>
        <w:numPr>
          <w:ilvl w:val="0"/>
          <w:numId w:val="3"/>
        </w:numPr>
        <w:spacing w:after="80" w:line="276"/>
        <w:jc w:val="both"/>
      </w:pPr>
      <w:r>
        <w:t xml:space="preserve">K5 — Belirsizlik kestirimi ve seçici tahminle güvenli karar katmanı ve etiket-temelli klinik aciliyet önceliklendirmesi.</w:t>
      </w:r>
    </w:p>
    <w:p>
      <w:pPr>
        <w:pStyle w:val="ListParagraph"/>
        <w:numPr>
          <w:ilvl w:val="0"/>
          <w:numId w:val="3"/>
        </w:numPr>
        <w:spacing w:after="80" w:line="276"/>
        <w:jc w:val="both"/>
      </w:pPr>
      <w:r>
        <w:t xml:space="preserve">K6 — Genellenebilirliğin (tabakalı çapraz doğrulama, ayrık iç test, cihaz-kısayolu kontrolü, halka açık veriyle harici genişletme) tümüyle otomatik ve sistematik değerlendirmesi.</w:t>
      </w:r>
    </w:p>
    <w:p>
      <w:pPr>
        <w:spacing w:after="140" w:line="276"/>
        <w:jc w:val="both"/>
      </w:pPr>
      <w:r>
        <w:rPr>
          <w:b/>
          <w:bCs/>
        </w:rPr>
        <w:t xml:space="preserve">Gerekçe. </w:t>
      </w:r>
      <w:r>
        <w:t xml:space="preserve">Bu kombinasyon üç nedenle seçilmiştir: (1) anatomi-koşullu zayıf denetim, literatürde neredeyse kullanılmayan sınır-kesiti etiketlerini değerlendirdiği için özgünlüğü 'bilinen modüllerin birleşimi' eleştirisinden korur; (2) öz-denetimli CT-MAE, doğal görüntü (ImageNet) ile BT arasındaki alan boşluğunu kapatır ve etiketli vakanın azlığını etiket-verimliliğiyle telafi eder; (3) öz-denetim çekirdeği değil, çekirdeği mümkün kılan kodlayıcı olarak konumlanır — böylece önceki CT öz-denetim çalışmalarından (ör. Models Genesis, CT-MAE) açıkça ayrışır.</w:t>
      </w:r>
    </w:p>
    <w:p>
      <w:pPr>
        <w:pStyle w:val="Heading1"/>
      </w:pPr>
      <w:r>
        <w:t xml:space="preserve">5. Materyal: TR-Abdomen Veri Seti</w:t>
      </w:r>
    </w:p>
    <w:p>
      <w:pPr>
        <w:spacing w:after="140" w:line="276"/>
        <w:jc w:val="both"/>
      </w:pPr>
      <w:r>
        <w:t xml:space="preserve">Veri seti, acil batın patolojilerini içeren BT serilerinden oluşur. Her vaka DICOM kesit dizisi olarak saklanır; etiketleme iki türdedir: patoloji için kesit-düzeyi sınırlayıcı kutular (bounding box) ve organlar için sınır kesiti (boundary slice) işaretleri. Aşağıdaki sayımlar veri setinin etiket dosyaları ve manifest (etiketli kesit indeksi) üzerinden doğrulanmıştır.</w:t>
      </w:r>
    </w:p>
    <w:tbl>
      <w:tblPr>
        <w:tblW w:type="dxa" w:w="9026"/>
        <w:tblBorders>
          <w:top w:val="single" w:color="BFBFBF" w:sz="1"/>
          <w:left w:val="single" w:color="BFBFBF" w:sz="1"/>
          <w:bottom w:val="single" w:color="BFBFBF" w:sz="1"/>
          <w:right w:val="single" w:color="BFBFBF" w:sz="1"/>
          <w:insideH w:val="single" w:color="BFBFBF" w:sz="1"/>
          <w:insideV w:val="single" w:color="BFBFBF" w:sz="1"/>
        </w:tblBorders>
      </w:tblPr>
      <w:tblGrid>
        <w:gridCol w:w="3413"/>
        <w:gridCol w:w="1900"/>
        <w:gridCol w:w="1900"/>
        <w:gridCol w:w="1813"/>
      </w:tblGrid>
      <w:tr>
        <w:trPr>
          <w:tblHeader/>
        </w:trPr>
        <w:tc>
          <w:tcPr>
            <w:tcW w:type="dxa" w:w="3413"/>
            <w:shd w:fill="1F3864" w:val="clear"/>
            <w:tcMar>
              <w:top w:type="dxa" w:w="60"/>
              <w:left w:type="dxa" w:w="100"/>
              <w:bottom w:type="dxa" w:w="60"/>
              <w:right w:type="dxa" w:w="100"/>
            </w:tcMar>
          </w:tcPr>
          <w:p>
            <w:pPr>
              <w:spacing w:after="20" w:line="250"/>
              <w:jc w:val="center"/>
            </w:pPr>
            <w:r>
              <w:rPr>
                <w:b/>
                <w:bCs/>
                <w:color w:val="FFFFFF"/>
                <w:sz w:val="19"/>
                <w:szCs w:val="19"/>
              </w:rPr>
              <w:t xml:space="preserve">Bölüm (orijinal)</w:t>
            </w:r>
          </w:p>
        </w:tc>
        <w:tc>
          <w:tcPr>
            <w:tcW w:type="dxa" w:w="1900"/>
            <w:shd w:fill="1F3864" w:val="clear"/>
            <w:tcMar>
              <w:top w:type="dxa" w:w="60"/>
              <w:left w:type="dxa" w:w="100"/>
              <w:bottom w:type="dxa" w:w="60"/>
              <w:right w:type="dxa" w:w="100"/>
            </w:tcMar>
          </w:tcPr>
          <w:p>
            <w:pPr>
              <w:spacing w:after="20" w:line="250"/>
              <w:jc w:val="center"/>
            </w:pPr>
            <w:r>
              <w:rPr>
                <w:b/>
                <w:bCs/>
                <w:color w:val="FFFFFF"/>
                <w:sz w:val="19"/>
                <w:szCs w:val="19"/>
              </w:rPr>
              <w:t xml:space="preserve">Vaka</w:t>
            </w:r>
          </w:p>
        </w:tc>
        <w:tc>
          <w:tcPr>
            <w:tcW w:type="dxa" w:w="1900"/>
            <w:shd w:fill="1F3864" w:val="clear"/>
            <w:tcMar>
              <w:top w:type="dxa" w:w="60"/>
              <w:left w:type="dxa" w:w="100"/>
              <w:bottom w:type="dxa" w:w="60"/>
              <w:right w:type="dxa" w:w="100"/>
            </w:tcMar>
          </w:tcPr>
          <w:p>
            <w:pPr>
              <w:spacing w:after="20" w:line="250"/>
              <w:jc w:val="center"/>
            </w:pPr>
            <w:r>
              <w:rPr>
                <w:b/>
                <w:bCs/>
                <w:color w:val="FFFFFF"/>
                <w:sz w:val="19"/>
                <w:szCs w:val="19"/>
              </w:rPr>
              <w:t xml:space="preserve">Dilim (kesit)</w:t>
            </w:r>
          </w:p>
        </w:tc>
        <w:tc>
          <w:tcPr>
            <w:tcW w:type="dxa" w:w="1813"/>
            <w:shd w:fill="1F3864" w:val="clear"/>
            <w:tcMar>
              <w:top w:type="dxa" w:w="60"/>
              <w:left w:type="dxa" w:w="100"/>
              <w:bottom w:type="dxa" w:w="60"/>
              <w:right w:type="dxa" w:w="100"/>
            </w:tcMar>
          </w:tcPr>
          <w:p>
            <w:pPr>
              <w:spacing w:after="20" w:line="250"/>
              <w:jc w:val="center"/>
            </w:pPr>
            <w:r>
              <w:rPr>
                <w:b/>
                <w:bCs/>
                <w:color w:val="FFFFFF"/>
                <w:sz w:val="19"/>
                <w:szCs w:val="19"/>
              </w:rPr>
              <w:t xml:space="preserve">Etiket kaydı</w:t>
            </w:r>
          </w:p>
        </w:tc>
      </w:tr>
      <w:tr>
        <w:tc>
          <w:tcPr>
            <w:tcW w:type="dxa" w:w="3413"/>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Eğitim verisi</w:t>
            </w:r>
          </w:p>
        </w:tc>
        <w:tc>
          <w:tcPr>
            <w:tcW w:type="dxa" w:w="1900"/>
            <w:shd w:fill="FFFFFF" w:val="clear"/>
            <w:tcMar>
              <w:top w:type="dxa" w:w="60"/>
              <w:left w:type="dxa" w:w="100"/>
              <w:bottom w:type="dxa" w:w="60"/>
              <w:right w:type="dxa" w:w="100"/>
            </w:tcMar>
          </w:tcPr>
          <w:p>
            <w:pPr>
              <w:spacing w:after="20" w:line="250"/>
              <w:jc w:val="center"/>
            </w:pPr>
            <w:r>
              <w:rPr>
                <w:b w:val="false"/>
                <w:bCs w:val="false"/>
                <w:color w:val="000000"/>
                <w:sz w:val="19"/>
                <w:szCs w:val="19"/>
              </w:rPr>
              <w:t xml:space="preserve">735</w:t>
            </w:r>
          </w:p>
        </w:tc>
        <w:tc>
          <w:tcPr>
            <w:tcW w:type="dxa" w:w="1900"/>
            <w:shd w:fill="FFFFFF" w:val="clear"/>
            <w:tcMar>
              <w:top w:type="dxa" w:w="60"/>
              <w:left w:type="dxa" w:w="100"/>
              <w:bottom w:type="dxa" w:w="60"/>
              <w:right w:type="dxa" w:w="100"/>
            </w:tcMar>
          </w:tcPr>
          <w:p>
            <w:pPr>
              <w:spacing w:after="20" w:line="250"/>
              <w:jc w:val="center"/>
            </w:pPr>
            <w:r>
              <w:rPr>
                <w:b w:val="false"/>
                <w:bCs w:val="false"/>
                <w:color w:val="000000"/>
                <w:sz w:val="19"/>
                <w:szCs w:val="19"/>
              </w:rPr>
              <w:t xml:space="preserve">~224.000</w:t>
            </w:r>
          </w:p>
        </w:tc>
        <w:tc>
          <w:tcPr>
            <w:tcW w:type="dxa" w:w="1813"/>
            <w:shd w:fill="FFFFFF" w:val="clear"/>
            <w:tcMar>
              <w:top w:type="dxa" w:w="60"/>
              <w:left w:type="dxa" w:w="100"/>
              <w:bottom w:type="dxa" w:w="60"/>
              <w:right w:type="dxa" w:w="100"/>
            </w:tcMar>
          </w:tcPr>
          <w:p>
            <w:pPr>
              <w:spacing w:after="20" w:line="250"/>
              <w:jc w:val="center"/>
            </w:pPr>
            <w:r>
              <w:rPr>
                <w:b w:val="false"/>
                <w:bCs w:val="false"/>
                <w:color w:val="000000"/>
                <w:sz w:val="19"/>
                <w:szCs w:val="19"/>
              </w:rPr>
              <w:t xml:space="preserve">28.134</w:t>
            </w:r>
          </w:p>
        </w:tc>
      </w:tr>
      <w:tr>
        <w:tc>
          <w:tcPr>
            <w:tcW w:type="dxa" w:w="3413"/>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Test / yarışma verisi</w:t>
            </w:r>
          </w:p>
        </w:tc>
        <w:tc>
          <w:tcPr>
            <w:tcW w:type="dxa" w:w="1900"/>
            <w:shd w:fill="F2F2F2" w:val="clear"/>
            <w:tcMar>
              <w:top w:type="dxa" w:w="60"/>
              <w:left w:type="dxa" w:w="100"/>
              <w:bottom w:type="dxa" w:w="60"/>
              <w:right w:type="dxa" w:w="100"/>
            </w:tcMar>
          </w:tcPr>
          <w:p>
            <w:pPr>
              <w:spacing w:after="20" w:line="250"/>
              <w:jc w:val="center"/>
            </w:pPr>
            <w:r>
              <w:rPr>
                <w:b w:val="false"/>
                <w:bCs w:val="false"/>
                <w:color w:val="000000"/>
                <w:sz w:val="19"/>
                <w:szCs w:val="19"/>
              </w:rPr>
              <w:t xml:space="preserve">357</w:t>
            </w:r>
          </w:p>
        </w:tc>
        <w:tc>
          <w:tcPr>
            <w:tcW w:type="dxa" w:w="1900"/>
            <w:shd w:fill="F2F2F2" w:val="clear"/>
            <w:tcMar>
              <w:top w:type="dxa" w:w="60"/>
              <w:left w:type="dxa" w:w="100"/>
              <w:bottom w:type="dxa" w:w="60"/>
              <w:right w:type="dxa" w:w="100"/>
            </w:tcMar>
          </w:tcPr>
          <w:p>
            <w:pPr>
              <w:spacing w:after="20" w:line="250"/>
              <w:jc w:val="center"/>
            </w:pPr>
            <w:r>
              <w:rPr>
                <w:b w:val="false"/>
                <w:bCs w:val="false"/>
                <w:color w:val="000000"/>
                <w:sz w:val="19"/>
                <w:szCs w:val="19"/>
              </w:rPr>
              <w:t xml:space="preserve">~114.000</w:t>
            </w:r>
          </w:p>
        </w:tc>
        <w:tc>
          <w:tcPr>
            <w:tcW w:type="dxa" w:w="1813"/>
            <w:shd w:fill="F2F2F2" w:val="clear"/>
            <w:tcMar>
              <w:top w:type="dxa" w:w="60"/>
              <w:left w:type="dxa" w:w="100"/>
              <w:bottom w:type="dxa" w:w="60"/>
              <w:right w:type="dxa" w:w="100"/>
            </w:tcMar>
          </w:tcPr>
          <w:p>
            <w:pPr>
              <w:spacing w:after="20" w:line="250"/>
              <w:jc w:val="center"/>
            </w:pPr>
            <w:r>
              <w:rPr>
                <w:b w:val="false"/>
                <w:bCs w:val="false"/>
                <w:color w:val="000000"/>
                <w:sz w:val="19"/>
                <w:szCs w:val="19"/>
              </w:rPr>
              <w:t xml:space="preserve">14.314</w:t>
            </w:r>
          </w:p>
        </w:tc>
      </w:tr>
      <w:tr>
        <w:tc>
          <w:tcPr>
            <w:tcW w:type="dxa" w:w="3413"/>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Toplam</w:t>
            </w:r>
          </w:p>
        </w:tc>
        <w:tc>
          <w:tcPr>
            <w:tcW w:type="dxa" w:w="1900"/>
            <w:shd w:fill="FFFFFF" w:val="clear"/>
            <w:tcMar>
              <w:top w:type="dxa" w:w="60"/>
              <w:left w:type="dxa" w:w="100"/>
              <w:bottom w:type="dxa" w:w="60"/>
              <w:right w:type="dxa" w:w="100"/>
            </w:tcMar>
          </w:tcPr>
          <w:p>
            <w:pPr>
              <w:spacing w:after="20" w:line="250"/>
              <w:jc w:val="center"/>
            </w:pPr>
            <w:r>
              <w:rPr>
                <w:b w:val="false"/>
                <w:bCs w:val="false"/>
                <w:color w:val="000000"/>
                <w:sz w:val="19"/>
                <w:szCs w:val="19"/>
              </w:rPr>
              <w:t xml:space="preserve">1.092</w:t>
            </w:r>
          </w:p>
        </w:tc>
        <w:tc>
          <w:tcPr>
            <w:tcW w:type="dxa" w:w="1900"/>
            <w:shd w:fill="FFFFFF" w:val="clear"/>
            <w:tcMar>
              <w:top w:type="dxa" w:w="60"/>
              <w:left w:type="dxa" w:w="100"/>
              <w:bottom w:type="dxa" w:w="60"/>
              <w:right w:type="dxa" w:w="100"/>
            </w:tcMar>
          </w:tcPr>
          <w:p>
            <w:pPr>
              <w:spacing w:after="20" w:line="250"/>
              <w:jc w:val="center"/>
            </w:pPr>
            <w:r>
              <w:rPr>
                <w:b w:val="false"/>
                <w:bCs w:val="false"/>
                <w:color w:val="000000"/>
                <w:sz w:val="19"/>
                <w:szCs w:val="19"/>
              </w:rPr>
              <w:t xml:space="preserve">~338.000</w:t>
            </w:r>
          </w:p>
        </w:tc>
        <w:tc>
          <w:tcPr>
            <w:tcW w:type="dxa" w:w="1813"/>
            <w:shd w:fill="FFFFFF" w:val="clear"/>
            <w:tcMar>
              <w:top w:type="dxa" w:w="60"/>
              <w:left w:type="dxa" w:w="100"/>
              <w:bottom w:type="dxa" w:w="60"/>
              <w:right w:type="dxa" w:w="100"/>
            </w:tcMar>
          </w:tcPr>
          <w:p>
            <w:pPr>
              <w:spacing w:after="20" w:line="250"/>
              <w:jc w:val="center"/>
            </w:pPr>
            <w:r>
              <w:rPr>
                <w:b w:val="false"/>
                <w:bCs w:val="false"/>
                <w:color w:val="000000"/>
                <w:sz w:val="19"/>
                <w:szCs w:val="19"/>
              </w:rPr>
              <w:t xml:space="preserve">42.448</w:t>
            </w:r>
          </w:p>
        </w:tc>
      </w:tr>
    </w:tbl>
    <w:p>
      <w:pPr>
        <w:spacing w:after="180" w:before="60"/>
      </w:pPr>
      <w:r>
        <w:rPr>
          <w:i/>
          <w:iCs/>
          <w:color w:val="595959"/>
          <w:sz w:val="18"/>
          <w:szCs w:val="18"/>
        </w:rPr>
        <w:t xml:space="preserve">Tablo 3. TR-Abdomen veri setinin orijinal (TEKNOFEST) bölünmesi. Etiket kaydı sayıları manifestle teyitlidir (34.550 bbox + 7.898 boundary = 42.448 anotasyon).</w:t>
      </w:r>
    </w:p>
    <w:p>
      <w:pPr>
        <w:spacing w:after="140" w:line="276"/>
        <w:jc w:val="both"/>
      </w:pPr>
      <w:r>
        <w:rPr>
          <w:b/>
          <w:bCs/>
        </w:rPr>
        <w:t xml:space="preserve">Süper-sınıf adlandırması (önemli). </w:t>
      </w:r>
      <w:r>
        <w:t xml:space="preserve">Altı süper-sınıf ham etiketlerden türetilir. Süper-sınıf 0 yalnızca akut kolesistiti değil, </w:t>
      </w:r>
      <w:r>
        <w:rPr>
          <w:b/>
          <w:bCs/>
        </w:rPr>
        <w:t xml:space="preserve">safra kesesi taşını da</w:t>
      </w:r>
      <w:r>
        <w:t xml:space="preserve"> içerir; klinik olarak safra kesesi taşı doğrudan akut kolesistit olmadığından bu sınıf </w:t>
      </w:r>
      <w:r>
        <w:rPr>
          <w:b/>
          <w:bCs/>
        </w:rPr>
        <w:t xml:space="preserve">“safra kesesi patolojileri”</w:t>
      </w:r>
      <w:r>
        <w:t xml:space="preserve"> olarak adlandırılır. Sınıf 1 böbrek + üreter taşını (ürolitiyazis), sınıf 5 divertikülit + kalsifiye divertikülü kapsar; sınıf 2 pankreatit, sınıf 3 aort (anevrizma/diseksiyon), sınıf 4 apandisittir.</w:t>
      </w:r>
    </w:p>
    <w:p>
      <w:pPr>
        <w:spacing w:after="140" w:line="276"/>
        <w:jc w:val="both"/>
      </w:pPr>
      <w:r>
        <w:t xml:space="preserve">Manifestten doğrulanan süper-sınıf dağılımı (kesit / vaka): aort 12.635 / 207, pankreatit 8.696 / 194, safra kesesi patolojileri 6.936 / 223, ürolitiyazis 2.237 / 234, apandisit 2.105 / 87, divertikülit 371 / 21. Üç kritik gözlem: (1) ~338 bin dilimin yalnızca küçük bir kısmı (manifestte 39.268 etiketli kesit; 31.965'i lezyon kutusu, 7.279'u organ sınır etiketi) etiketlidir; geri kalan dilimler öz-denetimli ön-eğitim için değerlidir. (2) Sınıf dağılımı ağır dengesizdir (aort ↔ divertikülit ≈ 34×); veri setinin gerçek nadir sınıfları divertikülit (21 vaka) ve apandisittir (87 vaka) — bu, literatürde en az çalışılan kolesistitten farklıdır (bu veri setinde kolesistit boldur). (3) Orijinal train/comp bölünmesi bazı sınıflarda ağır dengesizdir: apandisit train'de yalnızca 4, comp'ta 83 vaka; divertikülit 5 / 16. Bu nedenle orijinal sınır doğrudan eğitim/test için kullanılamaz; 854 patoloji-pozitif ve 238 negatif (yalnız-boundary) vakanın tümü Bölüm A'da havuzlanır.</w:t>
      </w:r>
    </w:p>
    <w:p>
      <w:pPr>
        <w:pStyle w:val="Heading1"/>
      </w:pPr>
      <w:r>
        <w:t xml:space="preserve">6. Önerilen Yöntem ve İş Paketleri</w:t>
      </w:r>
    </w:p>
    <w:p>
      <w:pPr>
        <w:spacing w:after="140" w:line="276"/>
        <w:jc w:val="both"/>
      </w:pPr>
      <w:r>
        <w:t xml:space="preserve">Tez, her biri bir bağımsız katkı ve potansiyel yayın oluşturan beş iş paketi (İP) / bölüm olarak kurgulanır. Bu öneri yazıldığında modeller henüz eğitilmemiştir; tüm bölümler ileriye dönük iş planı niteliğindedir.</w:t>
      </w:r>
    </w:p>
    <w:p>
      <w:pPr>
        <w:pStyle w:val="Heading2"/>
      </w:pPr>
      <w:r>
        <w:t xml:space="preserve">Bölüm A (İP1) — Veri Havuzlama, Sızıntısız Bölme Protokolü ve Başlangıç Referansı</w:t>
      </w:r>
    </w:p>
    <w:p>
      <w:pPr>
        <w:spacing w:after="140" w:line="276"/>
        <w:jc w:val="both"/>
      </w:pPr>
      <w:r>
        <w:t xml:space="preserve">Orijinal train/comp bölünmesi bazı sınıflarda ağır dengesiz olduğundan (ör. apandisit 4 vs 83 vaka), 1.092 vakanın tamamı (854 patoloji-pozitif + 238 yalnız-boundary/negatif) havuzlanır ve hasta (vaka) düzeyinde patolojiye göre stratifiye edilerek yaklaşık %68 eğitim / %17 doğrulama / %15 ayrık iç (held-out) test biçiminde bölünür. Bölme StratifiedGroupKFold + stratifiye hold-out ile yapılır: GroupKFold aynı vakanın tüm kesitlerini tek kümede tutarak vaka sızıntısını (data leakage) önler, stratifikasyon ise nadir sınıfların (divertikülit, apandisit) her kümede temsil edilmesini garanti eder (sabit random_state ile rastgele hold-out yerine). 238 negatif vaka hasta-düzeyi negatif (özgüllük) değerlendirmesi, anatomi kolu denetimi ve öz-denetimli ön-eğitim için kullanılır; saptama (bbox) kaybı yalnızca patoloji-pozitif vakalardan hesaplanır. Kesin vaka sayıları bölme çıktısından (cell_splits) gelecektir. Bu test, kurum-içi ayrık (held-out) iç testtir; “harici doğrulama” terimi yalnızca kurum-dışı/halka açık veri için (Bölüm E) kullanılır.</w:t>
      </w:r>
    </w:p>
    <w:p>
      <w:pPr>
        <w:pStyle w:val="ListParagraph"/>
        <w:numPr>
          <w:ilvl w:val="0"/>
          <w:numId w:val="3"/>
        </w:numPr>
        <w:spacing w:after="80" w:line="276"/>
        <w:jc w:val="both"/>
      </w:pPr>
      <w:r>
        <w:rPr>
          <w:b/>
          <w:bCs/>
        </w:rPr>
        <w:t xml:space="preserve">Sızıntı (leakage) disiplini: </w:t>
      </w:r>
      <w:r>
        <w:t xml:space="preserve">Öz-denetimli ön-eğitim dahil tüm öğrenme yalnızca nihai eğitim bölmesinin (~%68) dilimleriyle yapılır; doğrulama ve test dilimleri (etiket kullanılmasa bile) ön-eğitime asla girmez. Aynı vakanın tüm kesitleri tek kümede kalır (GroupKFold).</w:t>
      </w:r>
    </w:p>
    <w:p>
      <w:pPr>
        <w:pStyle w:val="ListParagraph"/>
        <w:numPr>
          <w:ilvl w:val="0"/>
          <w:numId w:val="3"/>
        </w:numPr>
        <w:spacing w:after="80" w:line="276"/>
        <w:jc w:val="both"/>
      </w:pPr>
      <w:r>
        <w:rPr>
          <w:b/>
          <w:bCs/>
        </w:rPr>
        <w:t xml:space="preserve">Nadir-sınıf stratejisi: </w:t>
      </w:r>
      <w:r>
        <w:t xml:space="preserve">Divertikülit (21 vaka) ve apandisit (87 vaka) tek holdout ile anlamlı bölünemez; bu nedenle StratifiedGroupKFold ile 5-katlı çapraz doğrulama kullanılır (hem sızıntısızlık hem nadir-sınıf temsili) ve nadir-sınıf sonuçları 'yön gösterici' olarak raporlanır. Hold-out üzerindeki nihai skor, 5 fold modelinin topluluğu (veya ortalama ± std) ile raporlanır.</w:t>
      </w:r>
    </w:p>
    <w:p>
      <w:pPr>
        <w:pStyle w:val="ListParagraph"/>
        <w:numPr>
          <w:ilvl w:val="0"/>
          <w:numId w:val="3"/>
        </w:numPr>
        <w:spacing w:after="80" w:line="276"/>
        <w:jc w:val="both"/>
      </w:pPr>
      <w:r>
        <w:rPr>
          <w:b/>
          <w:bCs/>
        </w:rPr>
        <w:t xml:space="preserve">Metrik tanımı: </w:t>
      </w:r>
      <w:r>
        <w:t xml:space="preserve">Birincil saptama metriği, beş IoU eşiğinde (0,1; 0,3; 0,5; 0,7; 0,9) hesaplanan F1 skorlarının ortalamasıdır. (Önceki taslaklarda 'Top-5 ortalama F1' olarak geçen metrik budur; sınıflandırmadaki top-k metriğiyle karıştırılmamalı, bu yüzden açık ad kullanılır.) Dört temel model (YOLO, Swin Transformer, nnU-Net, MedNeXt) eğitilip karşılaştırılır.</w:t>
      </w:r>
    </w:p>
    <w:p>
      <w:pPr>
        <w:spacing w:after="140" w:line="276"/>
        <w:jc w:val="both"/>
      </w:pPr>
      <w:r>
        <w:t xml:space="preserve">Kod altyapısı (faz-temelli not defterleri) hazırlanmıştır; modeller henüz eğitilmemiştir. Aşağıdaki tablo raporlanacak metriklerin yapısını gösterir; hücreler eğitim sonrası doldurulacaktır.</w:t>
      </w:r>
    </w:p>
    <w:tbl>
      <w:tblPr>
        <w:tblW w:type="dxa" w:w="9026"/>
        <w:tblBorders>
          <w:top w:val="single" w:color="BFBFBF" w:sz="1"/>
          <w:left w:val="single" w:color="BFBFBF" w:sz="1"/>
          <w:bottom w:val="single" w:color="BFBFBF" w:sz="1"/>
          <w:right w:val="single" w:color="BFBFBF" w:sz="1"/>
          <w:insideH w:val="single" w:color="BFBFBF" w:sz="1"/>
          <w:insideV w:val="single" w:color="BFBFBF" w:sz="1"/>
        </w:tblBorders>
      </w:tblPr>
      <w:tblGrid>
        <w:gridCol w:w="3000"/>
        <w:gridCol w:w="1500"/>
        <w:gridCol w:w="1500"/>
        <w:gridCol w:w="3026"/>
      </w:tblGrid>
      <w:tr>
        <w:trPr>
          <w:tblHeader/>
        </w:trPr>
        <w:tc>
          <w:tcPr>
            <w:tcW w:type="dxa" w:w="3000"/>
            <w:shd w:fill="1F3864" w:val="clear"/>
            <w:tcMar>
              <w:top w:type="dxa" w:w="60"/>
              <w:left w:type="dxa" w:w="100"/>
              <w:bottom w:type="dxa" w:w="60"/>
              <w:right w:type="dxa" w:w="100"/>
            </w:tcMar>
          </w:tcPr>
          <w:p>
            <w:pPr>
              <w:spacing w:after="20" w:line="250"/>
              <w:jc w:val="center"/>
            </w:pPr>
            <w:r>
              <w:rPr>
                <w:b/>
                <w:bCs/>
                <w:color w:val="FFFFFF"/>
                <w:sz w:val="19"/>
                <w:szCs w:val="19"/>
              </w:rPr>
              <w:t xml:space="preserve">Model</w:t>
            </w:r>
          </w:p>
        </w:tc>
        <w:tc>
          <w:tcPr>
            <w:tcW w:type="dxa" w:w="1500"/>
            <w:shd w:fill="1F3864" w:val="clear"/>
            <w:tcMar>
              <w:top w:type="dxa" w:w="60"/>
              <w:left w:type="dxa" w:w="100"/>
              <w:bottom w:type="dxa" w:w="60"/>
              <w:right w:type="dxa" w:w="100"/>
            </w:tcMar>
          </w:tcPr>
          <w:p>
            <w:pPr>
              <w:spacing w:after="20" w:line="250"/>
              <w:jc w:val="center"/>
            </w:pPr>
            <w:r>
              <w:rPr>
                <w:b/>
                <w:bCs/>
                <w:color w:val="FFFFFF"/>
                <w:sz w:val="19"/>
                <w:szCs w:val="19"/>
              </w:rPr>
              <w:t xml:space="preserve">Sınıf-başı F1</w:t>
            </w:r>
          </w:p>
        </w:tc>
        <w:tc>
          <w:tcPr>
            <w:tcW w:type="dxa" w:w="1500"/>
            <w:shd w:fill="1F3864" w:val="clear"/>
            <w:tcMar>
              <w:top w:type="dxa" w:w="60"/>
              <w:left w:type="dxa" w:w="100"/>
              <w:bottom w:type="dxa" w:w="60"/>
              <w:right w:type="dxa" w:w="100"/>
            </w:tcMar>
          </w:tcPr>
          <w:p>
            <w:pPr>
              <w:spacing w:after="20" w:line="250"/>
              <w:jc w:val="center"/>
            </w:pPr>
            <w:r>
              <w:rPr>
                <w:b/>
                <w:bCs/>
                <w:color w:val="FFFFFF"/>
                <w:sz w:val="19"/>
                <w:szCs w:val="19"/>
              </w:rPr>
              <w:t xml:space="preserve">IoU-ort. F1</w:t>
            </w:r>
          </w:p>
        </w:tc>
        <w:tc>
          <w:tcPr>
            <w:tcW w:type="dxa" w:w="3026"/>
            <w:shd w:fill="1F3864" w:val="clear"/>
            <w:tcMar>
              <w:top w:type="dxa" w:w="60"/>
              <w:left w:type="dxa" w:w="100"/>
              <w:bottom w:type="dxa" w:w="60"/>
              <w:right w:type="dxa" w:w="100"/>
            </w:tcMar>
          </w:tcPr>
          <w:p>
            <w:pPr>
              <w:spacing w:after="20" w:line="250"/>
              <w:jc w:val="center"/>
            </w:pPr>
            <w:r>
              <w:rPr>
                <w:b/>
                <w:bCs/>
                <w:color w:val="FFFFFF"/>
                <w:sz w:val="19"/>
                <w:szCs w:val="19"/>
              </w:rPr>
              <w:t xml:space="preserve">Verimlilik (param / çıkarım)</w:t>
            </w:r>
          </w:p>
        </w:tc>
      </w:tr>
      <w:tr>
        <w:tc>
          <w:tcPr>
            <w:tcW w:type="dxa" w:w="3000"/>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YOLO</w:t>
            </w:r>
          </w:p>
        </w:tc>
        <w:tc>
          <w:tcPr>
            <w:tcW w:type="dxa" w:w="1500"/>
            <w:shd w:fill="FFFFFF" w:val="clear"/>
            <w:tcMar>
              <w:top w:type="dxa" w:w="60"/>
              <w:left w:type="dxa" w:w="100"/>
              <w:bottom w:type="dxa" w:w="60"/>
              <w:right w:type="dxa" w:w="100"/>
            </w:tcMar>
          </w:tcPr>
          <w:p>
            <w:pPr>
              <w:spacing w:after="20" w:line="250"/>
              <w:jc w:val="center"/>
            </w:pPr>
            <w:r>
              <w:rPr>
                <w:b w:val="false"/>
                <w:bCs w:val="false"/>
                <w:color w:val="000000"/>
                <w:sz w:val="19"/>
                <w:szCs w:val="19"/>
              </w:rPr>
              <w:t xml:space="preserve">—</w:t>
            </w:r>
          </w:p>
        </w:tc>
        <w:tc>
          <w:tcPr>
            <w:tcW w:type="dxa" w:w="1500"/>
            <w:shd w:fill="FFFFFF" w:val="clear"/>
            <w:tcMar>
              <w:top w:type="dxa" w:w="60"/>
              <w:left w:type="dxa" w:w="100"/>
              <w:bottom w:type="dxa" w:w="60"/>
              <w:right w:type="dxa" w:w="100"/>
            </w:tcMar>
          </w:tcPr>
          <w:p>
            <w:pPr>
              <w:spacing w:after="20" w:line="250"/>
              <w:jc w:val="center"/>
            </w:pPr>
            <w:r>
              <w:rPr>
                <w:b w:val="false"/>
                <w:bCs w:val="false"/>
                <w:color w:val="000000"/>
                <w:sz w:val="19"/>
                <w:szCs w:val="19"/>
              </w:rPr>
              <w:t xml:space="preserve">—</w:t>
            </w:r>
          </w:p>
        </w:tc>
        <w:tc>
          <w:tcPr>
            <w:tcW w:type="dxa" w:w="3026"/>
            <w:shd w:fill="FFFFFF" w:val="clear"/>
            <w:tcMar>
              <w:top w:type="dxa" w:w="60"/>
              <w:left w:type="dxa" w:w="100"/>
              <w:bottom w:type="dxa" w:w="60"/>
              <w:right w:type="dxa" w:w="100"/>
            </w:tcMar>
          </w:tcPr>
          <w:p>
            <w:pPr>
              <w:spacing w:after="20" w:line="250"/>
              <w:jc w:val="center"/>
            </w:pPr>
            <w:r>
              <w:rPr>
                <w:b w:val="false"/>
                <w:bCs w:val="false"/>
                <w:color w:val="000000"/>
                <w:sz w:val="19"/>
                <w:szCs w:val="19"/>
              </w:rPr>
              <w:t xml:space="preserve">— / —</w:t>
            </w:r>
          </w:p>
        </w:tc>
      </w:tr>
      <w:tr>
        <w:tc>
          <w:tcPr>
            <w:tcW w:type="dxa" w:w="3000"/>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Swin Transformer</w:t>
            </w:r>
          </w:p>
        </w:tc>
        <w:tc>
          <w:tcPr>
            <w:tcW w:type="dxa" w:w="1500"/>
            <w:shd w:fill="F2F2F2" w:val="clear"/>
            <w:tcMar>
              <w:top w:type="dxa" w:w="60"/>
              <w:left w:type="dxa" w:w="100"/>
              <w:bottom w:type="dxa" w:w="60"/>
              <w:right w:type="dxa" w:w="100"/>
            </w:tcMar>
          </w:tcPr>
          <w:p>
            <w:pPr>
              <w:spacing w:after="20" w:line="250"/>
              <w:jc w:val="center"/>
            </w:pPr>
            <w:r>
              <w:rPr>
                <w:b w:val="false"/>
                <w:bCs w:val="false"/>
                <w:color w:val="000000"/>
                <w:sz w:val="19"/>
                <w:szCs w:val="19"/>
              </w:rPr>
              <w:t xml:space="preserve">—</w:t>
            </w:r>
          </w:p>
        </w:tc>
        <w:tc>
          <w:tcPr>
            <w:tcW w:type="dxa" w:w="1500"/>
            <w:shd w:fill="F2F2F2" w:val="clear"/>
            <w:tcMar>
              <w:top w:type="dxa" w:w="60"/>
              <w:left w:type="dxa" w:w="100"/>
              <w:bottom w:type="dxa" w:w="60"/>
              <w:right w:type="dxa" w:w="100"/>
            </w:tcMar>
          </w:tcPr>
          <w:p>
            <w:pPr>
              <w:spacing w:after="20" w:line="250"/>
              <w:jc w:val="center"/>
            </w:pPr>
            <w:r>
              <w:rPr>
                <w:b w:val="false"/>
                <w:bCs w:val="false"/>
                <w:color w:val="000000"/>
                <w:sz w:val="19"/>
                <w:szCs w:val="19"/>
              </w:rPr>
              <w:t xml:space="preserve">—</w:t>
            </w:r>
          </w:p>
        </w:tc>
        <w:tc>
          <w:tcPr>
            <w:tcW w:type="dxa" w:w="3026"/>
            <w:shd w:fill="F2F2F2" w:val="clear"/>
            <w:tcMar>
              <w:top w:type="dxa" w:w="60"/>
              <w:left w:type="dxa" w:w="100"/>
              <w:bottom w:type="dxa" w:w="60"/>
              <w:right w:type="dxa" w:w="100"/>
            </w:tcMar>
          </w:tcPr>
          <w:p>
            <w:pPr>
              <w:spacing w:after="20" w:line="250"/>
              <w:jc w:val="center"/>
            </w:pPr>
            <w:r>
              <w:rPr>
                <w:b w:val="false"/>
                <w:bCs w:val="false"/>
                <w:color w:val="000000"/>
                <w:sz w:val="19"/>
                <w:szCs w:val="19"/>
              </w:rPr>
              <w:t xml:space="preserve">— / —</w:t>
            </w:r>
          </w:p>
        </w:tc>
      </w:tr>
      <w:tr>
        <w:tc>
          <w:tcPr>
            <w:tcW w:type="dxa" w:w="3000"/>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nnU-Net</w:t>
            </w:r>
          </w:p>
        </w:tc>
        <w:tc>
          <w:tcPr>
            <w:tcW w:type="dxa" w:w="1500"/>
            <w:shd w:fill="FFFFFF" w:val="clear"/>
            <w:tcMar>
              <w:top w:type="dxa" w:w="60"/>
              <w:left w:type="dxa" w:w="100"/>
              <w:bottom w:type="dxa" w:w="60"/>
              <w:right w:type="dxa" w:w="100"/>
            </w:tcMar>
          </w:tcPr>
          <w:p>
            <w:pPr>
              <w:spacing w:after="20" w:line="250"/>
              <w:jc w:val="center"/>
            </w:pPr>
            <w:r>
              <w:rPr>
                <w:b w:val="false"/>
                <w:bCs w:val="false"/>
                <w:color w:val="000000"/>
                <w:sz w:val="19"/>
                <w:szCs w:val="19"/>
              </w:rPr>
              <w:t xml:space="preserve">—</w:t>
            </w:r>
          </w:p>
        </w:tc>
        <w:tc>
          <w:tcPr>
            <w:tcW w:type="dxa" w:w="1500"/>
            <w:shd w:fill="FFFFFF" w:val="clear"/>
            <w:tcMar>
              <w:top w:type="dxa" w:w="60"/>
              <w:left w:type="dxa" w:w="100"/>
              <w:bottom w:type="dxa" w:w="60"/>
              <w:right w:type="dxa" w:w="100"/>
            </w:tcMar>
          </w:tcPr>
          <w:p>
            <w:pPr>
              <w:spacing w:after="20" w:line="250"/>
              <w:jc w:val="center"/>
            </w:pPr>
            <w:r>
              <w:rPr>
                <w:b w:val="false"/>
                <w:bCs w:val="false"/>
                <w:color w:val="000000"/>
                <w:sz w:val="19"/>
                <w:szCs w:val="19"/>
              </w:rPr>
              <w:t xml:space="preserve">—</w:t>
            </w:r>
          </w:p>
        </w:tc>
        <w:tc>
          <w:tcPr>
            <w:tcW w:type="dxa" w:w="3026"/>
            <w:shd w:fill="FFFFFF" w:val="clear"/>
            <w:tcMar>
              <w:top w:type="dxa" w:w="60"/>
              <w:left w:type="dxa" w:w="100"/>
              <w:bottom w:type="dxa" w:w="60"/>
              <w:right w:type="dxa" w:w="100"/>
            </w:tcMar>
          </w:tcPr>
          <w:p>
            <w:pPr>
              <w:spacing w:after="20" w:line="250"/>
              <w:jc w:val="center"/>
            </w:pPr>
            <w:r>
              <w:rPr>
                <w:b w:val="false"/>
                <w:bCs w:val="false"/>
                <w:color w:val="000000"/>
                <w:sz w:val="19"/>
                <w:szCs w:val="19"/>
              </w:rPr>
              <w:t xml:space="preserve">— / —</w:t>
            </w:r>
          </w:p>
        </w:tc>
      </w:tr>
      <w:tr>
        <w:tc>
          <w:tcPr>
            <w:tcW w:type="dxa" w:w="3000"/>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MedNeXt</w:t>
            </w:r>
          </w:p>
        </w:tc>
        <w:tc>
          <w:tcPr>
            <w:tcW w:type="dxa" w:w="1500"/>
            <w:shd w:fill="F2F2F2" w:val="clear"/>
            <w:tcMar>
              <w:top w:type="dxa" w:w="60"/>
              <w:left w:type="dxa" w:w="100"/>
              <w:bottom w:type="dxa" w:w="60"/>
              <w:right w:type="dxa" w:w="100"/>
            </w:tcMar>
          </w:tcPr>
          <w:p>
            <w:pPr>
              <w:spacing w:after="20" w:line="250"/>
              <w:jc w:val="center"/>
            </w:pPr>
            <w:r>
              <w:rPr>
                <w:b w:val="false"/>
                <w:bCs w:val="false"/>
                <w:color w:val="000000"/>
                <w:sz w:val="19"/>
                <w:szCs w:val="19"/>
              </w:rPr>
              <w:t xml:space="preserve">—</w:t>
            </w:r>
          </w:p>
        </w:tc>
        <w:tc>
          <w:tcPr>
            <w:tcW w:type="dxa" w:w="1500"/>
            <w:shd w:fill="F2F2F2" w:val="clear"/>
            <w:tcMar>
              <w:top w:type="dxa" w:w="60"/>
              <w:left w:type="dxa" w:w="100"/>
              <w:bottom w:type="dxa" w:w="60"/>
              <w:right w:type="dxa" w:w="100"/>
            </w:tcMar>
          </w:tcPr>
          <w:p>
            <w:pPr>
              <w:spacing w:after="20" w:line="250"/>
              <w:jc w:val="center"/>
            </w:pPr>
            <w:r>
              <w:rPr>
                <w:b w:val="false"/>
                <w:bCs w:val="false"/>
                <w:color w:val="000000"/>
                <w:sz w:val="19"/>
                <w:szCs w:val="19"/>
              </w:rPr>
              <w:t xml:space="preserve">—</w:t>
            </w:r>
          </w:p>
        </w:tc>
        <w:tc>
          <w:tcPr>
            <w:tcW w:type="dxa" w:w="3026"/>
            <w:shd w:fill="F2F2F2" w:val="clear"/>
            <w:tcMar>
              <w:top w:type="dxa" w:w="60"/>
              <w:left w:type="dxa" w:w="100"/>
              <w:bottom w:type="dxa" w:w="60"/>
              <w:right w:type="dxa" w:w="100"/>
            </w:tcMar>
          </w:tcPr>
          <w:p>
            <w:pPr>
              <w:spacing w:after="20" w:line="250"/>
              <w:jc w:val="center"/>
            </w:pPr>
            <w:r>
              <w:rPr>
                <w:b w:val="false"/>
                <w:bCs w:val="false"/>
                <w:color w:val="000000"/>
                <w:sz w:val="19"/>
                <w:szCs w:val="19"/>
              </w:rPr>
              <w:t xml:space="preserve">— / —</w:t>
            </w:r>
          </w:p>
        </w:tc>
      </w:tr>
    </w:tbl>
    <w:p>
      <w:pPr>
        <w:spacing w:after="180" w:before="60"/>
      </w:pPr>
      <w:r>
        <w:rPr>
          <w:i/>
          <w:iCs/>
          <w:color w:val="595959"/>
          <w:sz w:val="18"/>
          <w:szCs w:val="18"/>
        </w:rPr>
        <w:t xml:space="preserve">Tablo 4. Bölüm A benchmark tablosunun yapısı (değerler eğitim sonrası doldurulacaktır; mevcut taslaklardaki sayılar yer-tutucudur).</w:t>
      </w:r>
    </w:p>
    <w:p>
      <w:pPr>
        <w:pStyle w:val="Heading2"/>
      </w:pPr>
      <w:r>
        <w:t xml:space="preserve">Bölüm B (İP2) — Sınıf Dengesizliği, Kalibrasyon ve Eşik Optimizasyonu</w:t>
      </w:r>
    </w:p>
    <w:p>
      <w:pPr>
        <w:spacing w:after="140" w:line="276"/>
        <w:jc w:val="both"/>
      </w:pPr>
      <w:r>
        <w:t xml:space="preserve">Veri setinin nadir patolojileri (divertikülit, apandisit) yaygın bulgulara göre çok daha az temsil edilir. Bu bölüm iki düzeyde dengeleme uygular: örnekleme düzeyinde ters-frekanslı ağırlıklı örnekleme (WeightedRandomSampler) ve Focal-BCE kaybı; karar düzeyinde sınıf-başına eşik optimizasyonu. Kalibrasyon (sıcaklık ölçekleme) ve 5-katlı çapraz doğrulama ile istatistiksel güvenilirlik sağlanır. Omurga seçimi sistematik ablasyonla incelenir.</w:t>
      </w:r>
    </w:p>
    <w:p>
      <w:pPr>
        <w:pStyle w:val="Heading2"/>
      </w:pPr>
      <w:r>
        <w:t xml:space="preserve">Bölüm C (İP3) — Anatomi-Koşullu Çok-Patolojili Mimari (Ana Katkı)</w:t>
      </w:r>
    </w:p>
    <w:p>
      <w:pPr>
        <w:spacing w:after="140" w:line="276"/>
        <w:jc w:val="both"/>
      </w:pPr>
      <w:r>
        <w:t xml:space="preserve">Tezin merkezî özgün katkısı, organ sınır kesiti etiketleriyle anatomi-koşullu, hasta düzeyinde karar veren bir mimaridir. Bileşenler:</w:t>
      </w:r>
    </w:p>
    <w:p>
      <w:pPr>
        <w:pStyle w:val="ListParagraph"/>
        <w:numPr>
          <w:ilvl w:val="0"/>
          <w:numId w:val="3"/>
        </w:numPr>
        <w:spacing w:after="80" w:line="276"/>
        <w:jc w:val="both"/>
      </w:pPr>
      <w:r>
        <w:rPr>
          <w:b/>
          <w:bCs/>
        </w:rPr>
        <w:t xml:space="preserve">Öz-denetimli CT-MAE / 2.5D kodlayıcı: </w:t>
      </w:r>
      <w:r>
        <w:t xml:space="preserve">Kodlayıcı, yalnızca nihai train-split dilimleri (havuzlanmış ~338 bin dilimin ~%68'i; karşılaştırma için orijinal TEKNOFEST eğitim bölümü ~224 bin dilimdir) üzerinde masked autoencoder (MAE) ile öz-denetimli ön-eğitilir. Girdi tek kesit değil, beş komşu dilimlik 2.5D (2,5 boyutlu) yığındır; maskeleme hem x-y patch hem kısmi z-bağlam üzerinde yapılır; rekonstrüksiyon HU-normalize edilmiş BT yoğunluğu üzerinedir. (Tek-pencere vs çok-pencere HU ablasyonla karşılaştırılır.)</w:t>
      </w:r>
    </w:p>
    <w:p>
      <w:pPr>
        <w:pStyle w:val="ListParagraph"/>
        <w:numPr>
          <w:ilvl w:val="0"/>
          <w:numId w:val="3"/>
        </w:numPr>
        <w:spacing w:after="80" w:line="276"/>
        <w:jc w:val="both"/>
      </w:pPr>
      <w:r>
        <w:rPr>
          <w:b/>
          <w:bCs/>
        </w:rPr>
        <w:t xml:space="preserve">Anatomi kolu (çekirdek): </w:t>
      </w:r>
      <w:r>
        <w:t xml:space="preserve">Paylaşılan kodlayıcı özelliklerinden, sınır-kesiti etiketleriyle denetlenen bir organ z-prior / organ token üretilir. Bu, paralel bir daldır ve iki işlev görür: (a) dedektörü koşullar, (b) toplama (MIL) adımını kısıtlar.</w:t>
      </w:r>
    </w:p>
    <w:p>
      <w:pPr>
        <w:pStyle w:val="ListParagraph"/>
        <w:numPr>
          <w:ilvl w:val="0"/>
          <w:numId w:val="3"/>
        </w:numPr>
        <w:spacing w:after="80" w:line="276"/>
        <w:jc w:val="both"/>
      </w:pPr>
      <w:r>
        <w:rPr>
          <w:b/>
          <w:bCs/>
        </w:rPr>
        <w:t xml:space="preserve">Organ-koşullu dedektör: </w:t>
      </w:r>
      <w:r>
        <w:t xml:space="preserve">Anchor-free, kesit-düzeyi lezyon kutuları üretir; organ önbilgisi anatomik olarak imkânsız konumlardaki yanlış pozitifleri bastırır. Lezyon-düzeyi tespit çıktısı klinik lokalizasyon ve açıklanabilirlik için korunur.</w:t>
      </w:r>
    </w:p>
    <w:p>
      <w:pPr>
        <w:pStyle w:val="ListParagraph"/>
        <w:numPr>
          <w:ilvl w:val="0"/>
          <w:numId w:val="3"/>
        </w:numPr>
        <w:spacing w:after="80" w:line="276"/>
        <w:jc w:val="both"/>
      </w:pPr>
      <w:r>
        <w:rPr>
          <w:b/>
          <w:bCs/>
        </w:rPr>
        <w:t xml:space="preserve">Anatomi-kısıtlı MIL toplama: </w:t>
      </w:r>
      <w:r>
        <w:t xml:space="preserve">Kesit-düzeyi kanıt, yalnızca ilgili organın z-aralığında çoklu-örnek öğrenme (MIL) ve z-ekseni dikkatiyle hasta-düzeyi çok-etiketli karara dönüştürülür (tam 3D maske gerektirmez).</w:t>
      </w:r>
    </w:p>
    <w:p>
      <w:pPr>
        <w:pStyle w:val="ListParagraph"/>
        <w:numPr>
          <w:ilvl w:val="0"/>
          <w:numId w:val="3"/>
        </w:numPr>
        <w:spacing w:after="80" w:line="276"/>
        <w:jc w:val="both"/>
      </w:pPr>
      <w:r>
        <w:rPr>
          <w:b/>
          <w:bCs/>
        </w:rPr>
        <w:t xml:space="preserve">Küçük lezyon önlemi: </w:t>
      </w:r>
      <w:r>
        <w:t xml:space="preserve">MAE anatomiyi iyi öğrense de küçük lezyonu garanti etmez; bu nedenle ince ayarda küçük-lezyon odaklı örnekleme ve copy-paste artırımı (özellikle taş) uygulanır.</w:t>
      </w:r>
    </w:p>
    <w:p>
      <w:pPr>
        <w:spacing w:after="140" w:line="276"/>
        <w:jc w:val="both"/>
      </w:pPr>
      <w:r>
        <w:t xml:space="preserve">MoE (kademeli uzman-yönlendirme) opsiyonel ablasyon bileşeni olarak değerlendirilir. Organlar/lezyonlar arası graf akıl yürütme (GNN), veri setinde birlikte-görülme örneklerinin seyrek olması ve ilişkisel etiket bulunmaması nedeniyle uygun bulunmamış; ilgili bağlam ihtiyacı, daha az veriyle öğrenilebilen organlar arası dikkatle karşılanmıştır.</w:t>
      </w:r>
    </w:p>
    <w:p>
      <w:pPr>
        <w:spacing w:after="140" w:line="276"/>
        <w:jc w:val="both"/>
      </w:pPr>
      <w:r>
        <w:t xml:space="preserve">Öz-denetimli ön-eğitimin değerini kanıtlamak için aşağıdaki ablasyon merdiveni izlenir:</w:t>
      </w:r>
    </w:p>
    <w:tbl>
      <w:tblPr>
        <w:tblW w:type="dxa" w:w="9026"/>
        <w:tblBorders>
          <w:top w:val="single" w:color="BFBFBF" w:sz="1"/>
          <w:left w:val="single" w:color="BFBFBF" w:sz="1"/>
          <w:bottom w:val="single" w:color="BFBFBF" w:sz="1"/>
          <w:right w:val="single" w:color="BFBFBF" w:sz="1"/>
          <w:insideH w:val="single" w:color="BFBFBF" w:sz="1"/>
          <w:insideV w:val="single" w:color="BFBFBF" w:sz="1"/>
        </w:tblBorders>
      </w:tblPr>
      <w:tblGrid>
        <w:gridCol w:w="700"/>
        <w:gridCol w:w="4200"/>
        <w:gridCol w:w="4126"/>
      </w:tblGrid>
      <w:tr>
        <w:trPr>
          <w:tblHeader/>
        </w:trPr>
        <w:tc>
          <w:tcPr>
            <w:tcW w:type="dxa" w:w="700"/>
            <w:shd w:fill="1F3864" w:val="clear"/>
            <w:tcMar>
              <w:top w:type="dxa" w:w="60"/>
              <w:left w:type="dxa" w:w="100"/>
              <w:bottom w:type="dxa" w:w="60"/>
              <w:right w:type="dxa" w:w="100"/>
            </w:tcMar>
          </w:tcPr>
          <w:p>
            <w:pPr>
              <w:spacing w:after="20" w:line="250"/>
              <w:jc w:val="center"/>
            </w:pPr>
            <w:r>
              <w:rPr>
                <w:b/>
                <w:bCs/>
                <w:color w:val="FFFFFF"/>
                <w:sz w:val="19"/>
                <w:szCs w:val="19"/>
              </w:rPr>
              <w:t xml:space="preserve">#</w:t>
            </w:r>
          </w:p>
        </w:tc>
        <w:tc>
          <w:tcPr>
            <w:tcW w:type="dxa" w:w="4200"/>
            <w:shd w:fill="1F3864" w:val="clear"/>
            <w:tcMar>
              <w:top w:type="dxa" w:w="60"/>
              <w:left w:type="dxa" w:w="100"/>
              <w:bottom w:type="dxa" w:w="60"/>
              <w:right w:type="dxa" w:w="100"/>
            </w:tcMar>
          </w:tcPr>
          <w:p>
            <w:pPr>
              <w:spacing w:after="20" w:line="250"/>
              <w:jc w:val="center"/>
            </w:pPr>
            <w:r>
              <w:rPr>
                <w:b/>
                <w:bCs/>
                <w:color w:val="FFFFFF"/>
                <w:sz w:val="19"/>
                <w:szCs w:val="19"/>
              </w:rPr>
              <w:t xml:space="preserve">Başlatma / ön-eğitim</w:t>
            </w:r>
          </w:p>
        </w:tc>
        <w:tc>
          <w:tcPr>
            <w:tcW w:type="dxa" w:w="4126"/>
            <w:shd w:fill="1F3864" w:val="clear"/>
            <w:tcMar>
              <w:top w:type="dxa" w:w="60"/>
              <w:left w:type="dxa" w:w="100"/>
              <w:bottom w:type="dxa" w:w="60"/>
              <w:right w:type="dxa" w:w="100"/>
            </w:tcMar>
          </w:tcPr>
          <w:p>
            <w:pPr>
              <w:spacing w:after="20" w:line="250"/>
              <w:jc w:val="center"/>
            </w:pPr>
            <w:r>
              <w:rPr>
                <w:b/>
                <w:bCs/>
                <w:color w:val="FFFFFF"/>
                <w:sz w:val="19"/>
                <w:szCs w:val="19"/>
              </w:rPr>
              <w:t xml:space="preserve">Amaç</w:t>
            </w:r>
          </w:p>
        </w:tc>
      </w:tr>
      <w:tr>
        <w:tc>
          <w:tcPr>
            <w:tcW w:type="dxa" w:w="700"/>
            <w:shd w:fill="FFFFFF" w:val="clear"/>
            <w:tcMar>
              <w:top w:type="dxa" w:w="60"/>
              <w:left w:type="dxa" w:w="100"/>
              <w:bottom w:type="dxa" w:w="60"/>
              <w:right w:type="dxa" w:w="100"/>
            </w:tcMar>
          </w:tcPr>
          <w:p>
            <w:pPr>
              <w:spacing w:after="20" w:line="250"/>
              <w:jc w:val="center"/>
            </w:pPr>
            <w:r>
              <w:rPr>
                <w:b w:val="false"/>
                <w:bCs w:val="false"/>
                <w:color w:val="000000"/>
                <w:sz w:val="19"/>
                <w:szCs w:val="19"/>
              </w:rPr>
              <w:t xml:space="preserve">1</w:t>
            </w:r>
          </w:p>
        </w:tc>
        <w:tc>
          <w:tcPr>
            <w:tcW w:type="dxa" w:w="4200"/>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Rastgele başlatma (scratch)</w:t>
            </w:r>
          </w:p>
        </w:tc>
        <w:tc>
          <w:tcPr>
            <w:tcW w:type="dxa" w:w="4126"/>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Alt sınır referansı</w:t>
            </w:r>
          </w:p>
        </w:tc>
      </w:tr>
      <w:tr>
        <w:tc>
          <w:tcPr>
            <w:tcW w:type="dxa" w:w="700"/>
            <w:shd w:fill="F2F2F2" w:val="clear"/>
            <w:tcMar>
              <w:top w:type="dxa" w:w="60"/>
              <w:left w:type="dxa" w:w="100"/>
              <w:bottom w:type="dxa" w:w="60"/>
              <w:right w:type="dxa" w:w="100"/>
            </w:tcMar>
          </w:tcPr>
          <w:p>
            <w:pPr>
              <w:spacing w:after="20" w:line="250"/>
              <w:jc w:val="center"/>
            </w:pPr>
            <w:r>
              <w:rPr>
                <w:b w:val="false"/>
                <w:bCs w:val="false"/>
                <w:color w:val="000000"/>
                <w:sz w:val="19"/>
                <w:szCs w:val="19"/>
              </w:rPr>
              <w:t xml:space="preserve">2</w:t>
            </w:r>
          </w:p>
        </w:tc>
        <w:tc>
          <w:tcPr>
            <w:tcW w:type="dxa" w:w="4200"/>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ImageNet başlatma</w:t>
            </w:r>
          </w:p>
        </w:tc>
        <w:tc>
          <w:tcPr>
            <w:tcW w:type="dxa" w:w="4126"/>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Yaygın temel; “neden ImageNet değil” karşılaştırması</w:t>
            </w:r>
          </w:p>
        </w:tc>
      </w:tr>
      <w:tr>
        <w:tc>
          <w:tcPr>
            <w:tcW w:type="dxa" w:w="700"/>
            <w:shd w:fill="FFFFFF" w:val="clear"/>
            <w:tcMar>
              <w:top w:type="dxa" w:w="60"/>
              <w:left w:type="dxa" w:w="100"/>
              <w:bottom w:type="dxa" w:w="60"/>
              <w:right w:type="dxa" w:w="100"/>
            </w:tcMar>
          </w:tcPr>
          <w:p>
            <w:pPr>
              <w:spacing w:after="20" w:line="250"/>
              <w:jc w:val="center"/>
            </w:pPr>
            <w:r>
              <w:rPr>
                <w:b w:val="false"/>
                <w:bCs w:val="false"/>
                <w:color w:val="000000"/>
                <w:sz w:val="19"/>
                <w:szCs w:val="19"/>
              </w:rPr>
              <w:t xml:space="preserve">3</w:t>
            </w:r>
          </w:p>
        </w:tc>
        <w:tc>
          <w:tcPr>
            <w:tcW w:type="dxa" w:w="4200"/>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Yalnız train-split CT-MAE (öz-denetim)</w:t>
            </w:r>
          </w:p>
        </w:tc>
        <w:tc>
          <w:tcPr>
            <w:tcW w:type="dxa" w:w="4126"/>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Önerilen birincil yaklaşım</w:t>
            </w:r>
          </w:p>
        </w:tc>
      </w:tr>
      <w:tr>
        <w:tc>
          <w:tcPr>
            <w:tcW w:type="dxa" w:w="700"/>
            <w:shd w:fill="F2F2F2" w:val="clear"/>
            <w:tcMar>
              <w:top w:type="dxa" w:w="60"/>
              <w:left w:type="dxa" w:w="100"/>
              <w:bottom w:type="dxa" w:w="60"/>
              <w:right w:type="dxa" w:w="100"/>
            </w:tcMar>
          </w:tcPr>
          <w:p>
            <w:pPr>
              <w:spacing w:after="20" w:line="250"/>
              <w:jc w:val="center"/>
            </w:pPr>
            <w:r>
              <w:rPr>
                <w:b w:val="false"/>
                <w:bCs w:val="false"/>
                <w:color w:val="000000"/>
                <w:sz w:val="19"/>
                <w:szCs w:val="19"/>
              </w:rPr>
              <w:t xml:space="preserve">4</w:t>
            </w:r>
          </w:p>
        </w:tc>
        <w:tc>
          <w:tcPr>
            <w:tcW w:type="dxa" w:w="4200"/>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ImageNet + CT-MAE uyarlaması</w:t>
            </w:r>
          </w:p>
        </w:tc>
        <w:tc>
          <w:tcPr>
            <w:tcW w:type="dxa" w:w="4126"/>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Birleşik başlatmanın katkısı</w:t>
            </w:r>
          </w:p>
        </w:tc>
      </w:tr>
      <w:tr>
        <w:tc>
          <w:tcPr>
            <w:tcW w:type="dxa" w:w="700"/>
            <w:shd w:fill="FFFFFF" w:val="clear"/>
            <w:tcMar>
              <w:top w:type="dxa" w:w="60"/>
              <w:left w:type="dxa" w:w="100"/>
              <w:bottom w:type="dxa" w:w="60"/>
              <w:right w:type="dxa" w:w="100"/>
            </w:tcMar>
          </w:tcPr>
          <w:p>
            <w:pPr>
              <w:spacing w:after="20" w:line="250"/>
              <w:jc w:val="center"/>
            </w:pPr>
            <w:r>
              <w:rPr>
                <w:b w:val="false"/>
                <w:bCs w:val="false"/>
                <w:color w:val="000000"/>
                <w:sz w:val="19"/>
                <w:szCs w:val="19"/>
              </w:rPr>
              <w:t xml:space="preserve">5</w:t>
            </w:r>
          </w:p>
        </w:tc>
        <w:tc>
          <w:tcPr>
            <w:tcW w:type="dxa" w:w="4200"/>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Halka açık batın BT ile genişletilmiş CT-MAE</w:t>
            </w:r>
          </w:p>
        </w:tc>
        <w:tc>
          <w:tcPr>
            <w:tcW w:type="dxa" w:w="4126"/>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Çeşitlilik/robustluk (zaman kalırsa)</w:t>
            </w:r>
          </w:p>
        </w:tc>
      </w:tr>
    </w:tbl>
    <w:p>
      <w:pPr>
        <w:spacing w:after="180" w:before="60"/>
      </w:pPr>
      <w:r>
        <w:rPr>
          <w:i/>
          <w:iCs/>
          <w:color w:val="595959"/>
          <w:sz w:val="18"/>
          <w:szCs w:val="18"/>
        </w:rPr>
        <w:t xml:space="preserve">Tablo 5. Kodlayıcı ön-eğitimi ablasyon merdiveni. 2–4 zorunlu; 5 isteğe bağlı (kaynak izniyle).</w:t>
      </w:r>
    </w:p>
    <w:p>
      <w:pPr>
        <w:pStyle w:val="Heading2"/>
      </w:pPr>
      <w:r>
        <w:t xml:space="preserve">Bölüm D (İP4) — Belirsizlik, Seçici Tahmin ve Otomatik Önceliklendirme</w:t>
      </w:r>
    </w:p>
    <w:p>
      <w:pPr>
        <w:spacing w:after="140" w:line="276"/>
        <w:jc w:val="both"/>
      </w:pPr>
      <w:r>
        <w:t xml:space="preserve">Bu bölüm modeli güvenli hâle getirir. Belirsizlik kestirimi (derin topluluk, Monte Carlo dropout veya kanıt-temelli yaklaşımlar) ile her tahmine güven değeri atanır. Seçici tahmin (selective prediction) çerçevesinde belirsizliği yüksek vakalar otomatik kararın dışına ayrılır ve risk–kapsama eğrisi raporlanır. Çıktılar, hayati patolojileri (aort diseksiyonu/anevrizması) öne çıkaran bir aciliyet skoruna dönüştürülür ve bu sıralama veri setinin referans etiketlerine göre değerlendirilir. Açıklanabilirlik, lezyon-düzeyi kutular ve organ-temelli gerekçelendirme ile sağlanır. Bu bölümde prospektif okuyucu çalışması öngörülmez; değerlendirme referans anotasyonlara dayalıdır.</w:t>
      </w:r>
    </w:p>
    <w:p>
      <w:pPr>
        <w:pStyle w:val="Heading2"/>
      </w:pPr>
      <w:r>
        <w:t xml:space="preserve">Bölüm E (İP5) — Genellenebilirlik ve Otomatik Değerlendirme</w:t>
      </w:r>
    </w:p>
    <w:p>
      <w:pPr>
        <w:spacing w:after="140" w:line="276"/>
        <w:jc w:val="both"/>
      </w:pPr>
      <w:r>
        <w:t xml:space="preserve">Son bölüm iç ve dış geçerliliği hedefler: tabakalı çapraz doğrulama, ayrık iç (held-out) test kümesi ve farklı protokol/cihaz alt-grup analizleri. Önemli bir kontrol, modelin anatomiyi mi yoksa cihaz/protokol imzasını mı öğrendiğini sınamaktır (cihaz-kısayolu kontrolü). Gerçek harici doğrulama yalnızca kurum-dışı/halka açık batın BT setleriyle (AMOS, AbdomenCT-1K, TotalSegmentator) yapılır; bu setlerle genişletilmiş öz-denetim ve test, robustluk sigortası olarak değerlendirilir. Tüm değerlendirme referans anotasyonlara dayalı ve tümüyle otomatiktir; radyolog karşılaştırmalı okuyucu çalışması kapsam dışıdır.</w:t>
      </w:r>
    </w:p>
    <w:p>
      <w:pPr>
        <w:pStyle w:val="Heading1"/>
      </w:pPr>
      <w:r>
        <w:t xml:space="preserve">7. Değerlendirme Stratejisi ve Metrikler</w:t>
      </w:r>
    </w:p>
    <w:p>
      <w:pPr>
        <w:spacing w:after="140" w:line="276"/>
        <w:jc w:val="both"/>
      </w:pPr>
      <w:r>
        <w:t xml:space="preserve">Tüm metrikler veri setinin referans etiketlerine göre otomatik hesaplanır.</w:t>
      </w:r>
    </w:p>
    <w:p>
      <w:pPr>
        <w:pStyle w:val="ListParagraph"/>
        <w:numPr>
          <w:ilvl w:val="0"/>
          <w:numId w:val="3"/>
        </w:numPr>
        <w:spacing w:after="80" w:line="276"/>
        <w:jc w:val="both"/>
      </w:pPr>
      <w:r>
        <w:rPr>
          <w:b/>
          <w:bCs/>
        </w:rPr>
        <w:t xml:space="preserve">Saptama: </w:t>
      </w:r>
      <w:r>
        <w:t xml:space="preserve">beş IoU eşiğinde (0,1; 0,3; 0,5; 0,7; 0,9) ortalama F1 (önceki taslaklardaki 'Top-5 ortalama F1' ile aynı); sınıf-başına precision/recall/F1; PR eğrileri ve mAP.</w:t>
      </w:r>
    </w:p>
    <w:p>
      <w:pPr>
        <w:pStyle w:val="ListParagraph"/>
        <w:numPr>
          <w:ilvl w:val="0"/>
          <w:numId w:val="3"/>
        </w:numPr>
        <w:spacing w:after="80" w:line="276"/>
        <w:jc w:val="both"/>
      </w:pPr>
      <w:r>
        <w:rPr>
          <w:b/>
          <w:bCs/>
        </w:rPr>
        <w:t xml:space="preserve">Etiket-verimliliği (headline): </w:t>
      </w:r>
      <w:r>
        <w:t xml:space="preserve">Eğitim etiketlerinin %25/%50/%100'ü ile performans eğrisi; öz-denetimli ön-eğitimin az-etiket rejimindeki kazancı bu eğriyle gösterilir.</w:t>
      </w:r>
    </w:p>
    <w:p>
      <w:pPr>
        <w:pStyle w:val="ListParagraph"/>
        <w:numPr>
          <w:ilvl w:val="0"/>
          <w:numId w:val="3"/>
        </w:numPr>
        <w:spacing w:after="80" w:line="276"/>
        <w:jc w:val="both"/>
      </w:pPr>
      <w:r>
        <w:rPr>
          <w:b/>
          <w:bCs/>
        </w:rPr>
        <w:t xml:space="preserve">Nadir sınıf ve küçük lezyon: </w:t>
      </w:r>
      <w:r>
        <w:t xml:space="preserve">Nadir sınıflarda (divertikülit, apandisit) recall; lezyon boyutuna göre tabakalı recall (özellikle taş). Nadir sınıf sonuçları 'yön gösterici' olarak işaretlenir.</w:t>
      </w:r>
    </w:p>
    <w:p>
      <w:pPr>
        <w:pStyle w:val="ListParagraph"/>
        <w:numPr>
          <w:ilvl w:val="0"/>
          <w:numId w:val="3"/>
        </w:numPr>
        <w:spacing w:after="80" w:line="276"/>
        <w:jc w:val="both"/>
      </w:pPr>
      <w:r>
        <w:t xml:space="preserve">Kalibrasyon ve belirsizlik: ECE/Brier; risk–kapsama eğrisi ve seçici doğruluk.</w:t>
      </w:r>
    </w:p>
    <w:p>
      <w:pPr>
        <w:pStyle w:val="ListParagraph"/>
        <w:numPr>
          <w:ilvl w:val="0"/>
          <w:numId w:val="3"/>
        </w:numPr>
        <w:spacing w:after="80" w:line="276"/>
        <w:jc w:val="both"/>
      </w:pPr>
      <w:r>
        <w:t xml:space="preserve">Önceliklendirme: aciliyet sıralamasının referans patoloji etiketleriyle tutarlılığı (sıralama/uyum metrikleri).</w:t>
      </w:r>
    </w:p>
    <w:p>
      <w:pPr>
        <w:pStyle w:val="ListParagraph"/>
        <w:numPr>
          <w:ilvl w:val="0"/>
          <w:numId w:val="3"/>
        </w:numPr>
        <w:spacing w:after="80" w:line="276"/>
        <w:jc w:val="both"/>
      </w:pPr>
      <w:r>
        <w:rPr>
          <w:b/>
          <w:bCs/>
        </w:rPr>
        <w:t xml:space="preserve">İstatistiksel titizlik: </w:t>
      </w:r>
      <w:r>
        <w:t xml:space="preserve">Bootstrap güven aralıkları + çoklu tohum (seed); modeller arası farklar için eşleştirilmiş/permütasyon testleri. Küçük n'li sınıflarda anlamlılık iddiasından kaçınılır.</w:t>
      </w:r>
    </w:p>
    <w:p>
      <w:pPr>
        <w:pStyle w:val="Heading1"/>
      </w:pPr>
      <w:r>
        <w:t xml:space="preserve">8. İş-Zaman Planı</w:t>
      </w:r>
    </w:p>
    <w:p>
      <w:pPr>
        <w:spacing w:after="140" w:line="276"/>
        <w:jc w:val="both"/>
      </w:pPr>
      <w:r>
        <w:t xml:space="preserve">Çalışma 36 aylık (6 yarıyıl) bir doktora takvimine göre planlanmıştır. Durum sütunu yapılacak işi gösterir.</w:t>
      </w:r>
    </w:p>
    <w:tbl>
      <w:tblPr>
        <w:tblW w:type="dxa" w:w="9026"/>
        <w:tblBorders>
          <w:top w:val="single" w:color="BFBFBF" w:sz="1"/>
          <w:left w:val="single" w:color="BFBFBF" w:sz="1"/>
          <w:bottom w:val="single" w:color="BFBFBF" w:sz="1"/>
          <w:right w:val="single" w:color="BFBFBF" w:sz="1"/>
          <w:insideH w:val="single" w:color="BFBFBF" w:sz="1"/>
          <w:insideV w:val="single" w:color="BFBFBF" w:sz="1"/>
        </w:tblBorders>
      </w:tblPr>
      <w:tblGrid>
        <w:gridCol w:w="2700"/>
        <w:gridCol w:w="1700"/>
        <w:gridCol w:w="4626"/>
      </w:tblGrid>
      <w:tr>
        <w:trPr>
          <w:tblHeader/>
        </w:trPr>
        <w:tc>
          <w:tcPr>
            <w:tcW w:type="dxa" w:w="2700"/>
            <w:shd w:fill="1F3864" w:val="clear"/>
            <w:tcMar>
              <w:top w:type="dxa" w:w="60"/>
              <w:left w:type="dxa" w:w="100"/>
              <w:bottom w:type="dxa" w:w="60"/>
              <w:right w:type="dxa" w:w="100"/>
            </w:tcMar>
          </w:tcPr>
          <w:p>
            <w:pPr>
              <w:spacing w:after="20" w:line="250"/>
              <w:jc w:val="center"/>
            </w:pPr>
            <w:r>
              <w:rPr>
                <w:b/>
                <w:bCs/>
                <w:color w:val="FFFFFF"/>
                <w:sz w:val="19"/>
                <w:szCs w:val="19"/>
              </w:rPr>
              <w:t xml:space="preserve">İş paketi / Bölüm</w:t>
            </w:r>
          </w:p>
        </w:tc>
        <w:tc>
          <w:tcPr>
            <w:tcW w:type="dxa" w:w="1700"/>
            <w:shd w:fill="1F3864" w:val="clear"/>
            <w:tcMar>
              <w:top w:type="dxa" w:w="60"/>
              <w:left w:type="dxa" w:w="100"/>
              <w:bottom w:type="dxa" w:w="60"/>
              <w:right w:type="dxa" w:w="100"/>
            </w:tcMar>
          </w:tcPr>
          <w:p>
            <w:pPr>
              <w:spacing w:after="20" w:line="250"/>
              <w:jc w:val="center"/>
            </w:pPr>
            <w:r>
              <w:rPr>
                <w:b/>
                <w:bCs/>
                <w:color w:val="FFFFFF"/>
                <w:sz w:val="19"/>
                <w:szCs w:val="19"/>
              </w:rPr>
              <w:t xml:space="preserve">Dönem</w:t>
            </w:r>
          </w:p>
        </w:tc>
        <w:tc>
          <w:tcPr>
            <w:tcW w:type="dxa" w:w="4626"/>
            <w:shd w:fill="1F3864" w:val="clear"/>
            <w:tcMar>
              <w:top w:type="dxa" w:w="60"/>
              <w:left w:type="dxa" w:w="100"/>
              <w:bottom w:type="dxa" w:w="60"/>
              <w:right w:type="dxa" w:w="100"/>
            </w:tcMar>
          </w:tcPr>
          <w:p>
            <w:pPr>
              <w:spacing w:after="20" w:line="250"/>
              <w:jc w:val="center"/>
            </w:pPr>
            <w:r>
              <w:rPr>
                <w:b/>
                <w:bCs/>
                <w:color w:val="FFFFFF"/>
                <w:sz w:val="19"/>
                <w:szCs w:val="19"/>
              </w:rPr>
              <w:t xml:space="preserve">Durum ve çıktı</w:t>
            </w:r>
          </w:p>
        </w:tc>
      </w:tr>
      <w:tr>
        <w:tc>
          <w:tcPr>
            <w:tcW w:type="dxa" w:w="2700"/>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A — Havuzlama + bölme + benchmark</w:t>
            </w:r>
          </w:p>
        </w:tc>
        <w:tc>
          <w:tcPr>
            <w:tcW w:type="dxa" w:w="1700"/>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1.–2. yarıyıl</w:t>
            </w:r>
          </w:p>
        </w:tc>
        <w:tc>
          <w:tcPr>
            <w:tcW w:type="dxa" w:w="4626"/>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Sızıntısız tabakalı bölme; kod hazır; eğitim + değerlendirme</w:t>
            </w:r>
          </w:p>
        </w:tc>
      </w:tr>
      <w:tr>
        <w:tc>
          <w:tcPr>
            <w:tcW w:type="dxa" w:w="2700"/>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CT-MAE ön-eğitim</w:t>
            </w:r>
          </w:p>
        </w:tc>
        <w:tc>
          <w:tcPr>
            <w:tcW w:type="dxa" w:w="1700"/>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2.–3. yarıyıl</w:t>
            </w:r>
          </w:p>
        </w:tc>
        <w:tc>
          <w:tcPr>
            <w:tcW w:type="dxa" w:w="4626"/>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Nihai train-split dilimlerinde öz-denetimli ön-eğitim</w:t>
            </w:r>
          </w:p>
        </w:tc>
      </w:tr>
      <w:tr>
        <w:tc>
          <w:tcPr>
            <w:tcW w:type="dxa" w:w="2700"/>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B — Dengesizlik + kalibrasyon</w:t>
            </w:r>
          </w:p>
        </w:tc>
        <w:tc>
          <w:tcPr>
            <w:tcW w:type="dxa" w:w="1700"/>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2.–3. yarıyıl</w:t>
            </w:r>
          </w:p>
        </w:tc>
        <w:tc>
          <w:tcPr>
            <w:tcW w:type="dxa" w:w="4626"/>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Eğitim + ablasyon</w:t>
            </w:r>
          </w:p>
        </w:tc>
      </w:tr>
      <w:tr>
        <w:tc>
          <w:tcPr>
            <w:tcW w:type="dxa" w:w="2700"/>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C — Anatomi-koşullu mimari (ana)</w:t>
            </w:r>
          </w:p>
        </w:tc>
        <w:tc>
          <w:tcPr>
            <w:tcW w:type="dxa" w:w="1700"/>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3.–4. yarıyıl</w:t>
            </w:r>
          </w:p>
        </w:tc>
        <w:tc>
          <w:tcPr>
            <w:tcW w:type="dxa" w:w="4626"/>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Geliştirme + ablasyon merdiveni (2–4 zorunlu)</w:t>
            </w:r>
          </w:p>
        </w:tc>
      </w:tr>
      <w:tr>
        <w:tc>
          <w:tcPr>
            <w:tcW w:type="dxa" w:w="2700"/>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D — Belirsizlik + önceliklendirme</w:t>
            </w:r>
          </w:p>
        </w:tc>
        <w:tc>
          <w:tcPr>
            <w:tcW w:type="dxa" w:w="1700"/>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4.–5. yarıyıl</w:t>
            </w:r>
          </w:p>
        </w:tc>
        <w:tc>
          <w:tcPr>
            <w:tcW w:type="dxa" w:w="4626"/>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Geliştirme + otomatik değerlendirme</w:t>
            </w:r>
          </w:p>
        </w:tc>
      </w:tr>
      <w:tr>
        <w:tc>
          <w:tcPr>
            <w:tcW w:type="dxa" w:w="2700"/>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E — Genellenebilirlik</w:t>
            </w:r>
          </w:p>
        </w:tc>
        <w:tc>
          <w:tcPr>
            <w:tcW w:type="dxa" w:w="1700"/>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5.–6. yarıyıl</w:t>
            </w:r>
          </w:p>
        </w:tc>
        <w:tc>
          <w:tcPr>
            <w:tcW w:type="dxa" w:w="4626"/>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Tabakalı CV + ayrık iç test + cihaz-kısayolu (public genişletme zaman kalırsa)</w:t>
            </w:r>
          </w:p>
        </w:tc>
      </w:tr>
      <w:tr>
        <w:tc>
          <w:tcPr>
            <w:tcW w:type="dxa" w:w="2700"/>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Tez yazımı + savunma</w:t>
            </w:r>
          </w:p>
        </w:tc>
        <w:tc>
          <w:tcPr>
            <w:tcW w:type="dxa" w:w="1700"/>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6. yarıyıl</w:t>
            </w:r>
          </w:p>
        </w:tc>
        <w:tc>
          <w:tcPr>
            <w:tcW w:type="dxa" w:w="4626"/>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Bütünleştirme ve savunma</w:t>
            </w:r>
          </w:p>
        </w:tc>
      </w:tr>
    </w:tbl>
    <w:p>
      <w:pPr>
        <w:spacing w:after="180" w:before="60"/>
      </w:pPr>
      <w:r>
        <w:rPr>
          <w:i/>
          <w:iCs/>
          <w:color w:val="595959"/>
          <w:sz w:val="18"/>
          <w:szCs w:val="18"/>
        </w:rPr>
        <w:t xml:space="preserve">Tablo 6. İş paketleri ve önerilen takvim.</w:t>
      </w:r>
    </w:p>
    <w:p>
      <w:pPr>
        <w:pStyle w:val="Heading1"/>
      </w:pPr>
      <w:r>
        <w:t xml:space="preserve">9. Beklenen Çıktılar ve Yayın Planı</w:t>
      </w:r>
    </w:p>
    <w:p>
      <w:pPr>
        <w:pStyle w:val="ListParagraph"/>
        <w:numPr>
          <w:ilvl w:val="0"/>
          <w:numId w:val="3"/>
        </w:numPr>
        <w:spacing w:after="80" w:line="276"/>
        <w:jc w:val="both"/>
      </w:pPr>
      <w:r>
        <w:rPr>
          <w:b/>
          <w:bCs/>
        </w:rPr>
        <w:t xml:space="preserve">Y1 (ana makale) — </w:t>
      </w:r>
      <w:r>
        <w:t xml:space="preserve">Öz-denetimli CT-MAE ile ön-eğitilmiş, anatomi-koşullu çok-patolojili tespit modeli (Bölüm C): tezin merkezî metodolojik katkısı, üst düzey dergi/konferans hedefi.</w:t>
      </w:r>
    </w:p>
    <w:p>
      <w:pPr>
        <w:pStyle w:val="ListParagraph"/>
        <w:numPr>
          <w:ilvl w:val="0"/>
          <w:numId w:val="3"/>
        </w:numPr>
        <w:spacing w:after="80" w:line="276"/>
        <w:jc w:val="both"/>
      </w:pPr>
      <w:r>
        <w:t xml:space="preserve">Y2 — Veri seti, havuzlama ve sızıntısız değerlendirme protokolü + benchmark makalesi (Bölüm A).</w:t>
      </w:r>
    </w:p>
    <w:p>
      <w:pPr>
        <w:pStyle w:val="ListParagraph"/>
        <w:numPr>
          <w:ilvl w:val="0"/>
          <w:numId w:val="3"/>
        </w:numPr>
        <w:spacing w:after="80" w:line="276"/>
        <w:jc w:val="both"/>
      </w:pPr>
      <w:r>
        <w:t xml:space="preserve">Y3 — Sınıf dengesizliği ve kalibrasyon yöntem makalesi (Bölüm B).</w:t>
      </w:r>
    </w:p>
    <w:p>
      <w:pPr>
        <w:pStyle w:val="ListParagraph"/>
        <w:numPr>
          <w:ilvl w:val="0"/>
          <w:numId w:val="3"/>
        </w:numPr>
        <w:spacing w:after="80" w:line="276"/>
        <w:jc w:val="both"/>
      </w:pPr>
      <w:r>
        <w:t xml:space="preserve">Y4 — Güvenli karar, belirsizlik ve otomatik önceliklendirme makalesi (Bölüm D–E).</w:t>
      </w:r>
    </w:p>
    <w:p>
      <w:pPr>
        <w:pStyle w:val="ListParagraph"/>
        <w:numPr>
          <w:ilvl w:val="0"/>
          <w:numId w:val="3"/>
        </w:numPr>
        <w:spacing w:after="80" w:line="276"/>
        <w:jc w:val="both"/>
      </w:pPr>
      <w:r>
        <w:t xml:space="preserve">Y5 — Sistematik kapsam belirleme incelemesi (191 çalışma) — mevcut, tezin literatür temeli.</w:t>
      </w:r>
    </w:p>
    <w:p>
      <w:pPr>
        <w:pStyle w:val="ListParagraph"/>
        <w:numPr>
          <w:ilvl w:val="0"/>
          <w:numId w:val="3"/>
        </w:numPr>
        <w:spacing w:after="80" w:line="276"/>
        <w:jc w:val="both"/>
      </w:pPr>
      <w:r>
        <w:t xml:space="preserve">Açık çıktılar: değerlendirme protokolü, ön-eğitim/ince-ayar kodu ve önceden eğitilmiş ağırlıklar (etik/izin çerçevesinde).</w:t>
      </w:r>
    </w:p>
    <w:p>
      <w:pPr>
        <w:pStyle w:val="Heading1"/>
      </w:pPr>
      <w:r>
        <w:t xml:space="preserve">10. Riskler, Sınırlılıklar ve Etik</w:t>
      </w:r>
    </w:p>
    <w:p>
      <w:pPr>
        <w:pStyle w:val="ListParagraph"/>
        <w:numPr>
          <w:ilvl w:val="0"/>
          <w:numId w:val="3"/>
        </w:numPr>
        <w:spacing w:after="80" w:line="276"/>
        <w:jc w:val="both"/>
      </w:pPr>
      <w:r>
        <w:rPr>
          <w:b/>
          <w:bCs/>
        </w:rPr>
        <w:t xml:space="preserve">Etik ve veri yönetimi: </w:t>
      </w:r>
      <w:r>
        <w:t xml:space="preserve">Çalışma geriye dönük ve anonimleştirilmiş görüntüler üzerinde yürütülür; gerekli kurum etik kurulu onayı ve veri kullanım izinleri alınır.</w:t>
      </w:r>
    </w:p>
    <w:p>
      <w:pPr>
        <w:pStyle w:val="ListParagraph"/>
        <w:numPr>
          <w:ilvl w:val="0"/>
          <w:numId w:val="3"/>
        </w:numPr>
        <w:spacing w:after="80" w:line="276"/>
        <w:jc w:val="both"/>
      </w:pPr>
      <w:r>
        <w:rPr>
          <w:b/>
          <w:bCs/>
        </w:rPr>
        <w:t xml:space="preserve">Öz-denetim, ImageNet'i geçemezse: </w:t>
      </w:r>
      <w:r>
        <w:t xml:space="preserve">CT-MAE tepe F1'de ImageNet'i belirgin geçemezse katkı, etiket-verimliliği, nadir-sınıf recall, daha iyi kalibrasyon ve daha hızlı yakınsama üzerinden konumlanır.</w:t>
      </w:r>
    </w:p>
    <w:p>
      <w:pPr>
        <w:pStyle w:val="ListParagraph"/>
        <w:numPr>
          <w:ilvl w:val="0"/>
          <w:numId w:val="3"/>
        </w:numPr>
        <w:spacing w:after="80" w:line="276"/>
        <w:jc w:val="both"/>
      </w:pPr>
      <w:r>
        <w:rPr>
          <w:b/>
          <w:bCs/>
        </w:rPr>
        <w:t xml:space="preserve">Cihaz/protokol kısayolu: </w:t>
      </w:r>
      <w:r>
        <w:t xml:space="preserve">Tek kaynaklı öz-denetim, anatomi yerine cihaz imzası öğrenebilir; cihaz-kısayolu kontrolü ve halka açık veriyle genişletme ile sınanır/azaltılır.</w:t>
      </w:r>
    </w:p>
    <w:p>
      <w:pPr>
        <w:pStyle w:val="ListParagraph"/>
        <w:numPr>
          <w:ilvl w:val="0"/>
          <w:numId w:val="3"/>
        </w:numPr>
        <w:spacing w:after="80" w:line="276"/>
        <w:jc w:val="both"/>
      </w:pPr>
      <w:r>
        <w:rPr>
          <w:b/>
          <w:bCs/>
        </w:rPr>
        <w:t xml:space="preserve">Nadir-sınıf ve istatistik: </w:t>
      </w:r>
      <w:r>
        <w:t xml:space="preserve">Divertikülit (21 vaka) ve apandisit gibi çok küçük n'lerde sonuçlar yön gösterici tutulur; bootstrap CI ve çoklu seed ile overclaim'den kaçınılır.</w:t>
      </w:r>
    </w:p>
    <w:p>
      <w:pPr>
        <w:pStyle w:val="ListParagraph"/>
        <w:numPr>
          <w:ilvl w:val="0"/>
          <w:numId w:val="3"/>
        </w:numPr>
        <w:spacing w:after="80" w:line="276"/>
        <w:jc w:val="both"/>
      </w:pPr>
      <w:r>
        <w:rPr>
          <w:b/>
          <w:bCs/>
        </w:rPr>
        <w:t xml:space="preserve">Hesaplama/kapsam: </w:t>
      </w:r>
      <w:r>
        <w:t xml:space="preserve">Yüz binlerce dilimde ön-eğitim ve geniş ablasyon yüksek GPU maliyetlidir; zorunlu karşılaştırmalar (ablasyon 2–4 + etiket-verimliliği) önceliklenir, public genişletme ve tam pencere ablasyonu 'zaman kalırsa' hedefidir.</w:t>
      </w:r>
    </w:p>
    <w:p>
      <w:pPr>
        <w:pStyle w:val="ListParagraph"/>
        <w:numPr>
          <w:ilvl w:val="0"/>
          <w:numId w:val="3"/>
        </w:numPr>
        <w:spacing w:after="80" w:line="276"/>
        <w:jc w:val="both"/>
      </w:pPr>
      <w:r>
        <w:rPr>
          <w:b/>
          <w:bCs/>
        </w:rPr>
        <w:t xml:space="preserve">Prospektif okuyucu çalışmasının kapsam dışılığı: </w:t>
      </w:r>
      <w:r>
        <w:t xml:space="preserve">Bu tezde prospektif okuyucu (radyolog) çalışması yapılmayacak; değerlendirme referans anotasyonlara dayanır. Bu bir sınırlılıktır ve açıkça raporlanır.</w:t>
      </w:r>
    </w:p>
    <w:p>
      <w:pPr>
        <w:pStyle w:val="ListParagraph"/>
        <w:numPr>
          <w:ilvl w:val="0"/>
          <w:numId w:val="3"/>
        </w:numPr>
        <w:spacing w:after="80" w:line="276"/>
        <w:jc w:val="both"/>
      </w:pPr>
      <w:r>
        <w:rPr>
          <w:b/>
          <w:bCs/>
        </w:rPr>
        <w:t xml:space="preserve">Klinik kullanım sınırı: </w:t>
      </w:r>
      <w:r>
        <w:t xml:space="preserve">Sistem karar destek amaçlıdır; tanı sorumluluğu hekime aittir.</w:t>
      </w:r>
    </w:p>
    <w:p>
      <w:pPr>
        <w:pStyle w:val="Heading1"/>
      </w:pPr>
      <w:r>
        <w:t xml:space="preserve">11. Alternatif Stratejik Yönler</w:t>
      </w:r>
    </w:p>
    <w:tbl>
      <w:tblPr>
        <w:tblW w:type="dxa" w:w="9026"/>
        <w:tblBorders>
          <w:top w:val="single" w:color="BFBFBF" w:sz="1"/>
          <w:left w:val="single" w:color="BFBFBF" w:sz="1"/>
          <w:bottom w:val="single" w:color="BFBFBF" w:sz="1"/>
          <w:right w:val="single" w:color="BFBFBF" w:sz="1"/>
          <w:insideH w:val="single" w:color="BFBFBF" w:sz="1"/>
          <w:insideV w:val="single" w:color="BFBFBF" w:sz="1"/>
        </w:tblBorders>
      </w:tblPr>
      <w:tblGrid>
        <w:gridCol w:w="2600"/>
        <w:gridCol w:w="3300"/>
        <w:gridCol w:w="3126"/>
      </w:tblGrid>
      <w:tr>
        <w:trPr>
          <w:tblHeader/>
        </w:trPr>
        <w:tc>
          <w:tcPr>
            <w:tcW w:type="dxa" w:w="2600"/>
            <w:shd w:fill="1F3864" w:val="clear"/>
            <w:tcMar>
              <w:top w:type="dxa" w:w="60"/>
              <w:left w:type="dxa" w:w="100"/>
              <w:bottom w:type="dxa" w:w="60"/>
              <w:right w:type="dxa" w:w="100"/>
            </w:tcMar>
          </w:tcPr>
          <w:p>
            <w:pPr>
              <w:spacing w:after="20" w:line="250"/>
              <w:jc w:val="center"/>
            </w:pPr>
            <w:r>
              <w:rPr>
                <w:b/>
                <w:bCs/>
                <w:color w:val="FFFFFF"/>
                <w:sz w:val="19"/>
                <w:szCs w:val="19"/>
              </w:rPr>
              <w:t xml:space="preserve">Yön</w:t>
            </w:r>
          </w:p>
        </w:tc>
        <w:tc>
          <w:tcPr>
            <w:tcW w:type="dxa" w:w="3300"/>
            <w:shd w:fill="1F3864" w:val="clear"/>
            <w:tcMar>
              <w:top w:type="dxa" w:w="60"/>
              <w:left w:type="dxa" w:w="100"/>
              <w:bottom w:type="dxa" w:w="60"/>
              <w:right w:type="dxa" w:w="100"/>
            </w:tcMar>
          </w:tcPr>
          <w:p>
            <w:pPr>
              <w:spacing w:after="20" w:line="250"/>
              <w:jc w:val="center"/>
            </w:pPr>
            <w:r>
              <w:rPr>
                <w:b/>
                <w:bCs/>
                <w:color w:val="FFFFFF"/>
                <w:sz w:val="19"/>
                <w:szCs w:val="19"/>
              </w:rPr>
              <w:t xml:space="preserve">Güçlü yön</w:t>
            </w:r>
          </w:p>
        </w:tc>
        <w:tc>
          <w:tcPr>
            <w:tcW w:type="dxa" w:w="3126"/>
            <w:shd w:fill="1F3864" w:val="clear"/>
            <w:tcMar>
              <w:top w:type="dxa" w:w="60"/>
              <w:left w:type="dxa" w:w="100"/>
              <w:bottom w:type="dxa" w:w="60"/>
              <w:right w:type="dxa" w:w="100"/>
            </w:tcMar>
          </w:tcPr>
          <w:p>
            <w:pPr>
              <w:spacing w:after="20" w:line="250"/>
              <w:jc w:val="center"/>
            </w:pPr>
            <w:r>
              <w:rPr>
                <w:b/>
                <w:bCs/>
                <w:color w:val="FFFFFF"/>
                <w:sz w:val="19"/>
                <w:szCs w:val="19"/>
              </w:rPr>
              <w:t xml:space="preserve">Risk / değerlendirme</w:t>
            </w:r>
          </w:p>
        </w:tc>
      </w:tr>
      <w:tr>
        <w:tc>
          <w:tcPr>
            <w:tcW w:type="dxa" w:w="2600"/>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A. Birleşik çok-patolojili triyaj (önerilen)</w:t>
            </w:r>
          </w:p>
        </w:tc>
        <w:tc>
          <w:tcPr>
            <w:tcW w:type="dxa" w:w="3300"/>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En belirgin literatür boşluğunu (G1) doğrudan doldurur; klinik gerçekliğe en yakın</w:t>
            </w:r>
          </w:p>
        </w:tc>
        <w:tc>
          <w:tcPr>
            <w:tcW w:type="dxa" w:w="3126"/>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Mimari karmaşıklık; ana katkı Bölüm C'de yoğunlaşır</w:t>
            </w:r>
          </w:p>
        </w:tc>
      </w:tr>
      <w:tr>
        <w:tc>
          <w:tcPr>
            <w:tcW w:type="dxa" w:w="2600"/>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B. Yeni mimari/model katkısı</w:t>
            </w:r>
          </w:p>
        </w:tc>
        <w:tc>
          <w:tcPr>
            <w:tcW w:type="dxa" w:w="3300"/>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Öz-denetimli CT-MAE + boundary-slice anatomi-koşullu zayıf denetim — yüksek metodolojik yenilik</w:t>
            </w:r>
          </w:p>
        </w:tc>
        <w:tc>
          <w:tcPr>
            <w:tcW w:type="dxa" w:w="3126"/>
            <w:shd w:fill="F2F2F2" w:val="clear"/>
            <w:tcMar>
              <w:top w:type="dxa" w:w="60"/>
              <w:left w:type="dxa" w:w="100"/>
              <w:bottom w:type="dxa" w:w="60"/>
              <w:right w:type="dxa" w:w="100"/>
            </w:tcMar>
          </w:tcPr>
          <w:p>
            <w:pPr>
              <w:spacing w:after="20" w:line="250"/>
              <w:jc w:val="left"/>
            </w:pPr>
            <w:r>
              <w:rPr>
                <w:b w:val="false"/>
                <w:bCs w:val="false"/>
                <w:color w:val="000000"/>
                <w:sz w:val="19"/>
                <w:szCs w:val="19"/>
              </w:rPr>
              <w:t xml:space="preserve">Hesaplama maliyeti; bu tezde benimsenen birincil yön</w:t>
            </w:r>
          </w:p>
        </w:tc>
      </w:tr>
      <w:tr>
        <w:tc>
          <w:tcPr>
            <w:tcW w:type="dxa" w:w="2600"/>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C. Açıklanabilir/güvenli karar destek</w:t>
            </w:r>
          </w:p>
        </w:tc>
        <w:tc>
          <w:tcPr>
            <w:tcW w:type="dxa" w:w="3300"/>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Klinik uygulanabilirlik ve güven odaklı</w:t>
            </w:r>
          </w:p>
        </w:tc>
        <w:tc>
          <w:tcPr>
            <w:tcW w:type="dxa" w:w="3126"/>
            <w:shd w:fill="FFFFFF" w:val="clear"/>
            <w:tcMar>
              <w:top w:type="dxa" w:w="60"/>
              <w:left w:type="dxa" w:w="100"/>
              <w:bottom w:type="dxa" w:w="60"/>
              <w:right w:type="dxa" w:w="100"/>
            </w:tcMar>
          </w:tcPr>
          <w:p>
            <w:pPr>
              <w:spacing w:after="20" w:line="250"/>
              <w:jc w:val="left"/>
            </w:pPr>
            <w:r>
              <w:rPr>
                <w:b w:val="false"/>
                <w:bCs w:val="false"/>
                <w:color w:val="000000"/>
                <w:sz w:val="19"/>
                <w:szCs w:val="19"/>
              </w:rPr>
              <w:t xml:space="preserve">Tek başına metodolojik derinliği sınırlı — Bölüm D olarak dahil edildi</w:t>
            </w:r>
          </w:p>
        </w:tc>
      </w:tr>
    </w:tbl>
    <w:p>
      <w:pPr>
        <w:spacing w:after="180" w:before="60"/>
      </w:pPr>
      <w:r>
        <w:rPr>
          <w:i/>
          <w:iCs/>
          <w:color w:val="595959"/>
          <w:sz w:val="18"/>
          <w:szCs w:val="18"/>
        </w:rPr>
        <w:t xml:space="preserve">Tablo 7. Stratejik yön karşılaştırması. Önerilen tez, üç yönü tutarlı bir bütün içinde birleştirir.</w:t>
      </w:r>
    </w:p>
    <w:p>
      <w:pPr>
        <w:pStyle w:val="Heading1"/>
      </w:pPr>
      <w:r>
        <w:t xml:space="preserve">12. Seçilmiş Kaynak Alanları</w:t>
      </w:r>
    </w:p>
    <w:p>
      <w:pPr>
        <w:spacing w:after="140" w:line="276"/>
        <w:jc w:val="both"/>
      </w:pPr>
      <w:r>
        <w:t xml:space="preserve">Tezin literatür temeli, 2021–2026 dönemini kapsayan ve 191 çalışmayı nihai analize alan sistematik kapsam belirleme incelemesidir (“Artificial Intelligence Applications in Computed Tomography for Abdominal Pain: A Multi-Database Scoping Review, 2021–2026”). Kaynaklar; patoloji bazlı sentez, model aileleri (CNN, U-Net/nnU-Net, MedNeXt, ViT/Swin temel modelleri, YOLO ailesi), tıbbi öz-denetimli ön-eğitim (Models Genesis, MAE/CT-MAE), halka açık batın BT veri setleri (AMOS, AbdomenCT-1K, TotalSegmentator) ve değerlendirme/kanıt kalitesi (harici doğrulama, kalibrasyon, açık bilim) başlıkları altında düzenlenecektir.</w:t>
      </w:r>
    </w:p>
    <w:p>
      <w:pPr>
        <w:spacing w:before="240"/>
      </w:pPr>
      <w:r>
        <w:rPr>
          <w:i/>
          <w:iCs/>
          <w:color w:val="808080"/>
          <w:sz w:val="18"/>
          <w:szCs w:val="18"/>
        </w:rPr>
        <w:t xml:space="preserve">Not: Bu belge bir tez önerisi / araştırma protokolüdür. Patoloji ve literatür sayıları nihai sistematik inceleme makalesinden (n=191) ve veri seti dosyalarından/manifestten doğrulanmıştır. Model performansına ilişkin değerler henüz üretilmemiştir; mevcut taslaklardaki sayılar yer-tutucudur ve eğitim/test sonrası gerçek değerlerle değiştirilecektir.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Sayfa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color w:val="808080"/>
        <w:sz w:val="16"/>
        <w:szCs w:val="16"/>
      </w:rPr>
      <w:t xml:space="preserve">Doktora Tezi Önerisi — TR-Abdomen Çok-Patolojili Acil Batın BT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Doktora Tezi Önerisi — Öz-Denetimli CT-MAE + Anatomi-Koşullu Çok-Patolojili Acil Batın BT</dc:title>
  <dc:creator>Ramazan</dc:creator>
  <cp:lastModifiedBy>Un-named</cp:lastModifiedBy>
  <cp:revision>1</cp:revision>
  <dcterms:created xsi:type="dcterms:W3CDTF">2026-06-18T10:43:30.733Z</dcterms:created>
  <dcterms:modified xsi:type="dcterms:W3CDTF">2026-06-18T10:43:30.733Z</dcterms:modified>
</cp:coreProperties>
</file>

<file path=docProps/custom.xml><?xml version="1.0" encoding="utf-8"?>
<Properties xmlns="http://schemas.openxmlformats.org/officeDocument/2006/custom-properties" xmlns:vt="http://schemas.openxmlformats.org/officeDocument/2006/docPropsVTypes"/>
</file>