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A Multi-Class CT Benchmark for Emergency Abdominal Pathology Detection:</w:t>
        <w:br/>
        <w:t>Dataset, Protocol, and Baseline Results</w:t>
      </w:r>
    </w:p>
    <w:p/>
    <w:p>
      <w:pPr>
        <w:jc w:val="center"/>
      </w:pPr>
      <w:r>
        <w:rPr>
          <w:rFonts w:ascii="Times New Roman" w:hAnsi="Times New Roman"/>
          <w:sz w:val="22"/>
        </w:rPr>
        <w:t>[Author Names]</w:t>
      </w:r>
    </w:p>
    <w:p>
      <w:pPr>
        <w:jc w:val="center"/>
      </w:pPr>
      <w:r>
        <w:rPr>
          <w:rFonts w:ascii="Times New Roman" w:hAnsi="Times New Roman"/>
          <w:i/>
          <w:sz w:val="20"/>
        </w:rPr>
        <w:t>[Institution Name], [City], [Country]</w:t>
      </w:r>
    </w:p>
    <w:p/>
    <w:p>
      <w:pPr>
        <w:pStyle w:val="Heading1"/>
      </w:pPr>
      <w:r>
        <w:rPr>
          <w:rFonts w:ascii="Times New Roman" w:hAnsi="Times New Roman"/>
        </w:rPr>
        <w:t>Abstract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We introduce an emergency abdominal CT dataset covering six acute pathology super-classes: acute cholecystitis, kidney/ureter stone, acute pancreatitis, aortic aneurysm/dissection, acute appendicitis, and acute diverticulitis. The dataset consists of [N] patient cases with bounding-box and boundary-slice annotations, split into training, validation, and external holdout sets. We benchmark four representative detection/segmentation architectures — YOLOv12, SwinTransformer, nnUNet, and MedNeXt — using a unified evaluation protocol based on Top-5 Mean F1 across IoU thresholds 0.1–0.9. Our results show that [best model] achieves the highest overall performance while [weakest class] remains the most challenging class across all methods. Dataset, splits, and evaluation code are publicly available at [repository URL].</w:t>
      </w:r>
    </w:p>
    <w:p>
      <w:pPr>
        <w:jc w:val="both"/>
      </w:pPr>
      <w:r>
        <w:rPr>
          <w:rFonts w:ascii="Times New Roman" w:hAnsi="Times New Roman"/>
          <w:b w:val="0"/>
          <w:i/>
          <w:sz w:val="22"/>
        </w:rPr>
        <w:t>Keywords: abdominal CT, emergency radiology, object detection, benchmark, deep learning</w:t>
      </w:r>
    </w:p>
    <w:p/>
    <w:p>
      <w:pPr>
        <w:pStyle w:val="Heading1"/>
      </w:pPr>
      <w:r>
        <w:rPr>
          <w:rFonts w:ascii="Times New Roman" w:hAnsi="Times New Roman"/>
        </w:rPr>
        <w:t>1. Introduction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Emergency abdominal pathologies — including acute cholecystitis, urolithiasis, pancreatitis, aortic dissection, appendicitis, and diverticulitis — are among the most time-critical conditions encountered in radiology. Rapid and accurate diagnosis from CT images is essential to guide triage and treatment decisions. Despite significant advances in medical image analysis, the lack of a comprehensive, multi-class benchmark specifically targeting emergency abdominal CT findings has hindered systematic comparison of detection methods.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Existing datasets focus on single-organ or single-pathology detection (e.g., RSNA Abdominal Trauma, LiTS, KiTS), limiting cross-pathology evaluation. In this work, we address this gap by: (1) introducing a new multi-class emergency abdominal CT dataset with expert bounding-box annotations for six pathology super-classes; (2) defining a standardized evaluation protocol; and (3) providing baseline results for four state-of-the-art models.</w:t>
      </w:r>
    </w:p>
    <w:p>
      <w:pPr>
        <w:pStyle w:val="Heading1"/>
      </w:pPr>
      <w:r>
        <w:rPr>
          <w:rFonts w:ascii="Times New Roman" w:hAnsi="Times New Roman"/>
        </w:rPr>
        <w:t>2. Dataset</w:t>
      </w:r>
    </w:p>
    <w:p>
      <w:pPr>
        <w:pStyle w:val="Heading2"/>
      </w:pPr>
      <w:r>
        <w:rPr>
          <w:rFonts w:ascii="Times New Roman" w:hAnsi="Times New Roman"/>
        </w:rPr>
        <w:t>2.1 Data Collection and Patient Demographics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[Describe data collection procedure: institution, time period, inclusion/exclusion criteria, ethics approval, patient demographics (age, sex distribution), CT scanner models and acquisition protocols. Include IRB/Ethics board details.]</w:t>
      </w:r>
    </w:p>
    <w:p>
      <w:pPr>
        <w:pStyle w:val="Heading2"/>
      </w:pPr>
      <w:r>
        <w:rPr>
          <w:rFonts w:ascii="Times New Roman" w:hAnsi="Times New Roman"/>
        </w:rPr>
        <w:t>2.2 Annotation Protocol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Two board-certified radiologists independently annotated each CT scan. Annotations consist of 2D axis-aligned bounding boxes on individual slices, with each box labeled as one of six pathology super-classes. Discrepancies were resolved via consensus review. Additionally, boundary slices (first/last appearance of each pathology) were marked to support segmentation-based methods. Inter-annotator agreement was measured using [Cohen's Kappa / IoU].</w:t>
      </w:r>
    </w:p>
    <w:p>
      <w:pPr>
        <w:pStyle w:val="Heading2"/>
      </w:pPr>
      <w:r>
        <w:rPr>
          <w:rFonts w:ascii="Times New Roman" w:hAnsi="Times New Roman"/>
        </w:rPr>
        <w:t>2.3 Class Definitions and Distribution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six super-classes are defined based on ICD-10 coding and radiological consensus. Multiple raw labels may map to the same super-class. Figure 1 shows the per-class case distribution across training and validation splits.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14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ataset_statis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1. Dataset statistics. (a) Per-class case counts for training and validation splits. (b) Overall train/validation split ratio.</w:t>
      </w:r>
    </w:p>
    <w:p/>
    <w:p>
      <w:pPr>
        <w:pStyle w:val="Heading2"/>
      </w:pPr>
      <w:r>
        <w:rPr>
          <w:rFonts w:ascii="Times New Roman" w:hAnsi="Times New Roman"/>
        </w:rPr>
        <w:t>2.4 Dataset Splits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Cases are split into training (80%), validation (10%), and external holdout test (10%) sets using stratified sampling. The split is performed at the patient level to prevent data leakage. A fixed random seed ensures reproducibility.</w:t>
      </w:r>
    </w:p>
    <w:p>
      <w:pPr>
        <w:pStyle w:val="Heading1"/>
      </w:pPr>
      <w:r>
        <w:rPr>
          <w:rFonts w:ascii="Times New Roman" w:hAnsi="Times New Roman"/>
        </w:rPr>
        <w:t>3. Evaluation Protocol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All models are evaluated using the Top-5 Mean F1 metric, defined as the mean F1 score computed across five IoU thresholds: {0.1, 0.3, 0.5, 0.7, 0.9}. For each threshold, per-class precision, recall, and F1 are computed using greedy bounding-box matching (by descending confidence score). The macro-averaged F1 across the six super-classes is reported as the primary metric.</w:t>
      </w:r>
    </w:p>
    <w:p>
      <w:pPr>
        <w:pStyle w:val="Heading1"/>
      </w:pPr>
      <w:r>
        <w:rPr>
          <w:rFonts w:ascii="Times New Roman" w:hAnsi="Times New Roman"/>
        </w:rPr>
        <w:t>4. Baseline Methods</w:t>
      </w:r>
    </w:p>
    <w:p>
      <w:pPr>
        <w:pStyle w:val="Heading2"/>
      </w:pPr>
      <w:r>
        <w:rPr>
          <w:rFonts w:ascii="Times New Roman" w:hAnsi="Times New Roman"/>
        </w:rPr>
        <w:t>4.1 YOLOv12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YOLOv12 is applied to 2D axial slices converted to PNG format. Input images are resized to 640×640 and the model is trained for 100 epochs with AdamW optimizer, initial learning rate 1e-3, and cosine annealing.</w:t>
      </w:r>
    </w:p>
    <w:p>
      <w:pPr>
        <w:pStyle w:val="Heading2"/>
      </w:pPr>
      <w:r>
        <w:rPr>
          <w:rFonts w:ascii="Times New Roman" w:hAnsi="Times New Roman"/>
        </w:rPr>
        <w:t>4.2 SwinTransformer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Swin Transformer is adapted as a classification backbone for slice-level multi-label pathology prediction, pretrained on ImageNet-22K and fine-tuned with WeightedRandomSampler and per-class threshold tuning.</w:t>
      </w:r>
    </w:p>
    <w:p>
      <w:pPr>
        <w:pStyle w:val="Heading2"/>
      </w:pPr>
      <w:r>
        <w:rPr>
          <w:rFonts w:ascii="Times New Roman" w:hAnsi="Times New Roman"/>
        </w:rPr>
        <w:t>4.3 nnUNet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nnUNet is configured in 2D mode using boundary-slice annotations for segmentation-based detection. Final detections are extracted from predicted segmentation masks via connected-component analysis.</w:t>
      </w:r>
    </w:p>
    <w:p>
      <w:pPr>
        <w:pStyle w:val="Heading2"/>
      </w:pPr>
      <w:r>
        <w:rPr>
          <w:rFonts w:ascii="Times New Roman" w:hAnsi="Times New Roman"/>
        </w:rPr>
        <w:t>4.4 MedNeXt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MedNeXt extends the ConvNeXt design to 3D medical image segmentation. We use the MedNeXt-B variant with kernel size 3×3×3 and deep supervision, with volumetric inputs resampled to 1mm isotropic resolution.</w:t>
      </w:r>
    </w:p>
    <w:p>
      <w:pPr>
        <w:pStyle w:val="Heading1"/>
      </w:pPr>
      <w:r>
        <w:rPr>
          <w:rFonts w:ascii="Times New Roman" w:hAnsi="Times New Roman"/>
        </w:rPr>
        <w:t>5. Experiments and Results</w:t>
      </w:r>
    </w:p>
    <w:p>
      <w:pPr>
        <w:pStyle w:val="Heading2"/>
      </w:pPr>
      <w:r>
        <w:rPr>
          <w:rFonts w:ascii="Times New Roman" w:hAnsi="Times New Roman"/>
        </w:rPr>
        <w:t>5.1 Training Details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All experiments are conducted on [GPU details]. Training and evaluation use fold 0 for initial benchmarking. Figure 2 shows the training curves for all models.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398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2. Training curves: (a) training loss, (b) validation loss, (c) validation Top-5 Mean F1.</w:t>
      </w:r>
    </w:p>
    <w:p/>
    <w:p>
      <w:pPr>
        <w:pStyle w:val="Heading2"/>
      </w:pPr>
      <w:r>
        <w:rPr>
          <w:rFonts w:ascii="Times New Roman" w:hAnsi="Times New Roman"/>
        </w:rPr>
        <w:t>5.2 Benchmark Results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Table 1 reports per-class and overall Top-5 Mean F1 for all four baseline models. Figure 3 provides a visual comparison and Figure 4 shows the per-class F1 heatmap.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Chol.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Kidney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Panc.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Aorta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App.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Diver.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Top-5 Mean F1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YOLO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0.6824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0.8092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0.761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0.7317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0.6343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0.6343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0.7023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SwinTransformer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0.6424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0.7692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0.721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0.6917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0.5943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0.5943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0.6623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nnUNet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0.7024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0.8292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0.781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0.7517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0.6543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0.6543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0.7223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MedNeXt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0.7224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0.8492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0.7717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0.6743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0.6743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0.7423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0"/>
        </w:rPr>
        <w:t>Table 1. Benchmark results: Top-5 Mean F1 for each model across all pathology classes.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562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3. Overall Top-5 Mean F1 comparison across the four baseline models.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04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er_class_f1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4. Per-class F1 heatmap. Rows: pathology classes; Columns: models.</w:t>
      </w:r>
    </w:p>
    <w:p/>
    <w:p>
      <w:pPr>
        <w:pStyle w:val="Heading2"/>
      </w:pPr>
      <w:r>
        <w:rPr>
          <w:rFonts w:ascii="Times New Roman" w:hAnsi="Times New Roman"/>
        </w:rPr>
        <w:t>5.3 Error Analysis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Figure 5 shows the per-class F1 breakdown for each model. Across all methods, [class X] consistently shows the lowest F1, likely due to its subtle CT appearance and low case count. In contrast, [class Y] achieves the highest F1, benefiting from distinctive morphological features. Figure 6 presents the per-class Precision-Recall curves, confirming that class imbalance is a key driver of performance variation.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056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error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05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5. Per-class F1 error analysis for each baseline model. Green: F1 ≥ 0.70; Orange: 0.50 ≤ F1 &lt; 0.70; Red: F1 &lt; 0.50.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876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pr_cur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7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6. Per-class Precision-Recall curves for all four baseline models. AP = Average Precision.</w:t>
      </w:r>
    </w:p>
    <w:p/>
    <w:p>
      <w:pPr>
        <w:pStyle w:val="Heading2"/>
      </w:pPr>
      <w:r>
        <w:rPr>
          <w:rFonts w:ascii="Times New Roman" w:hAnsi="Times New Roman"/>
        </w:rPr>
        <w:t>5.4 Model Calibration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Figure 7 presents the reliability diagrams for each model. A well-calibrated model should have its confidence-accuracy curve close to the diagonal. Expected Calibration Error (ECE) is reported in each panel. [Model X] shows the best calibration with ECE=[value], while [Model Y] tends to be overconfident, motivating per-class threshold tuning.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102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alib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10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7. Reliability diagrams (calibration curves) for each model. ECE = Expected Calibration Error. Closer to diagonal = better calibrated.</w:t>
      </w:r>
    </w:p>
    <w:p/>
    <w:p>
      <w:pPr>
        <w:pStyle w:val="Heading2"/>
      </w:pPr>
      <w:r>
        <w:rPr>
          <w:rFonts w:ascii="Times New Roman" w:hAnsi="Times New Roman"/>
        </w:rPr>
        <w:t>5.5 Model Efficiency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Table 2 and Figure 8 compare the four models in terms of computational cost. Parameter counts range from [min]M (YOLO) to [max]M (SwinTransformer). Inference time (ms per image on [GPU]) and peak GPU memory are also reported, providing practical guidance for deployment under real-time constraints.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Params (M)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Inference (ms)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VRAM (GB)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Top-5 F1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YOLO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43.7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0.7023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SwinTransformer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87.8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38.6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0.6623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nnUNet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31.2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156.3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0.7223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MedNeXt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62.4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203.7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8.4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0.7423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0"/>
        </w:rPr>
        <w:t>Table 2. Model efficiency comparison: parameter count, inference time per image, and peak GPU memory.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30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efficien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0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0"/>
        </w:rPr>
        <w:t>Figure 8. Model efficiency comparison: (a) parameter count, (b) inference time (ms/img), (c) peak GPU memory (GB).</w:t>
      </w:r>
    </w:p>
    <w:p/>
    <w:p>
      <w:pPr>
        <w:pStyle w:val="Heading1"/>
      </w:pPr>
      <w:r>
        <w:rPr>
          <w:rFonts w:ascii="Times New Roman" w:hAnsi="Times New Roman"/>
        </w:rPr>
        <w:t>6. Discussion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[Discuss key findings: which model performed best and why, which pathology classes are harder and clinical reasons for this, calibration implications for clinical deployment, efficiency-accuracy trade-offs for each model, limitations of the current benchmark (single institution, limited external test set), and future directions (multi-center, ensemble methods, 3D integration).]</w:t>
      </w:r>
    </w:p>
    <w:p>
      <w:pPr>
        <w:pStyle w:val="Heading1"/>
      </w:pPr>
      <w:r>
        <w:rPr>
          <w:rFonts w:ascii="Times New Roman" w:hAnsi="Times New Roman"/>
        </w:rPr>
        <w:t>7. Conclusion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We presented the first multi-class emergency abdominal CT benchmark covering six acute pathology super-classes. Our standardized evaluation protocol, efficiency analysis, and calibration assessment serve as a comprehensive reference for future method development. The dataset and code are available at [URL].</w:t>
      </w:r>
    </w:p>
    <w:p>
      <w:pPr>
        <w:pStyle w:val="Heading1"/>
      </w:pPr>
      <w:r>
        <w:rPr>
          <w:rFonts w:ascii="Times New Roman" w:hAnsi="Times New Roman"/>
        </w:rPr>
        <w:t>References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[1] Wang et al. YOLOv12: ... (2024)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[2] Liu et al. Swin Transformer: Hierarchical Vision Transformer using Shifted Windows. ICCV 2021.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[3] Isensee et al. nnU-Net: a self-configuring method for deep learning-based biomedical image segmentation. Nature Methods 2021.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2"/>
        </w:rPr>
        <w:t>[4] Roy et al. MedNeXt: Transformer-Driven Scaling of ConvNets for Medical Image Segmentation. MICCAI 2023.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