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Addressing Class Imbalance in Emergency Abdominal CT Classification:</w:t>
        <w:br/>
        <w:t>WeightedRandomSampler, Per-Class Threshold Optimization, and 5-Fold Validation</w:t>
      </w:r>
    </w:p>
    <w:p/>
    <w:p>
      <w:pPr>
        <w:jc w:val="center"/>
      </w:pPr>
      <w:r>
        <w:rPr>
          <w:rFonts w:ascii="Times New Roman" w:hAnsi="Times New Roman"/>
          <w:sz w:val="22"/>
        </w:rPr>
        <w:t>[Author Names]</w:t>
      </w:r>
    </w:p>
    <w:p>
      <w:pPr>
        <w:jc w:val="center"/>
      </w:pPr>
      <w:r>
        <w:rPr>
          <w:rFonts w:ascii="Times New Roman" w:hAnsi="Times New Roman"/>
          <w:i/>
          <w:sz w:val="20"/>
        </w:rPr>
        <w:t>[Institution Name], [City], [Country]</w:t>
      </w:r>
    </w:p>
    <w:p/>
    <w:p>
      <w:pPr>
        <w:pStyle w:val="Heading1"/>
      </w:pPr>
      <w:r>
        <w:rPr>
          <w:rFonts w:ascii="Times New Roman" w:hAnsi="Times New Roman"/>
        </w:rPr>
        <w:t>Abstract</w:t>
      </w:r>
    </w:p>
    <w:p>
      <w:pPr>
        <w:jc w:val="both"/>
      </w:pPr>
      <w:r>
        <w:rPr>
          <w:rFonts w:ascii="Times New Roman" w:hAnsi="Times New Roman"/>
          <w:b w:val="0"/>
          <w:i w:val="0"/>
          <w:sz w:val="24"/>
        </w:rPr>
        <w:t>Multi-label classification of emergency abdominal CT findings is challenged by significant class imbalance: rare pathologies such as aortic dissection and acute pancreatitis are far less represented than common findings. We propose a two-stage approach: (1) inverse-frequency WeightedRandomSampler at the slice level combined with Focal-BCE loss; and (2) per-class decision threshold optimization using F1-score maximization across 51 candidates. We validate the method via 5-fold cross-validation, conduct a backbone ablation across six architectures, and analyze model calibration via reliability diagrams. Our method improves Top-5 Mean F1 from [baseline] to [ours] (mean±std over 5 folds), with the largest gains on minority classes.</w:t>
      </w:r>
    </w:p>
    <w:p>
      <w:pPr>
        <w:jc w:val="both"/>
      </w:pPr>
      <w:r>
        <w:rPr>
          <w:rFonts w:ascii="Times New Roman" w:hAnsi="Times New Roman"/>
          <w:b w:val="0"/>
          <w:i/>
          <w:sz w:val="22"/>
        </w:rPr>
        <w:t>Keywords: class imbalance, multi-label classification, abdominal CT, weighted sampling, threshold tuning, cross-validation, calibration</w:t>
      </w:r>
    </w:p>
    <w:p/>
    <w:p>
      <w:pPr>
        <w:pStyle w:val="Heading1"/>
      </w:pPr>
      <w:r>
        <w:rPr>
          <w:rFonts w:ascii="Times New Roman" w:hAnsi="Times New Roman"/>
        </w:rPr>
        <w:t>1. Introduction</w:t>
      </w:r>
    </w:p>
    <w:p>
      <w:pPr>
        <w:jc w:val="both"/>
      </w:pPr>
      <w:r>
        <w:rPr>
          <w:rFonts w:ascii="Times New Roman" w:hAnsi="Times New Roman"/>
          <w:b w:val="0"/>
          <w:i w:val="0"/>
          <w:sz w:val="24"/>
        </w:rPr>
        <w:t>Class imbalance is a pervasive challenge in medical image classification. In emergency abdominal radiology, the frequency of pathologies varies widely: urolithiasis and cholecystitis are relatively common, whereas aortic dissection and acute pancreatitis are rare. Standard cross-entropy training causes models to optimize predominantly for majority classes while under-detecting minority ones.</w:t>
      </w:r>
    </w:p>
    <w:p>
      <w:pPr>
        <w:jc w:val="both"/>
      </w:pPr>
      <w:r>
        <w:rPr>
          <w:rFonts w:ascii="Times New Roman" w:hAnsi="Times New Roman"/>
          <w:b w:val="0"/>
          <w:i w:val="0"/>
          <w:sz w:val="24"/>
        </w:rPr>
        <w:t>In this paper, we address imbalance at two complementary levels: (1) the sampling level, via slice-level WeightedRandomSampler; and (2) the decision level, via per-class threshold optimization. We further analyze model calibration and validate with 5-fold cross-validation to ensure statistical reliability of the reported gains.</w:t>
      </w:r>
    </w:p>
    <w:p>
      <w:pPr>
        <w:pStyle w:val="Heading1"/>
      </w:pPr>
      <w:r>
        <w:rPr>
          <w:rFonts w:ascii="Times New Roman" w:hAnsi="Times New Roman"/>
        </w:rPr>
        <w:t>2. Related Work</w:t>
      </w:r>
    </w:p>
    <w:p>
      <w:pPr>
        <w:pStyle w:val="Heading2"/>
      </w:pPr>
      <w:r>
        <w:rPr>
          <w:rFonts w:ascii="Times New Roman" w:hAnsi="Times New Roman"/>
        </w:rPr>
        <w:t>2.1 Class Imbalance in Medical Imaging</w:t>
      </w:r>
    </w:p>
    <w:p>
      <w:pPr>
        <w:jc w:val="both"/>
      </w:pPr>
      <w:r>
        <w:rPr>
          <w:rFonts w:ascii="Times New Roman" w:hAnsi="Times New Roman"/>
          <w:b w:val="0"/>
          <w:i w:val="0"/>
          <w:sz w:val="24"/>
        </w:rPr>
        <w:t>[Review: oversampling (SMOTE), undersampling, class weights, focal loss (Lin et al. 2017), curriculum learning, ensemble methods.]</w:t>
      </w:r>
    </w:p>
    <w:p>
      <w:pPr>
        <w:pStyle w:val="Heading2"/>
      </w:pPr>
      <w:r>
        <w:rPr>
          <w:rFonts w:ascii="Times New Roman" w:hAnsi="Times New Roman"/>
        </w:rPr>
        <w:t>2.2 Multi-Label Classification of Medical Images</w:t>
      </w:r>
    </w:p>
    <w:p>
      <w:pPr>
        <w:jc w:val="both"/>
      </w:pPr>
      <w:r>
        <w:rPr>
          <w:rFonts w:ascii="Times New Roman" w:hAnsi="Times New Roman"/>
          <w:b w:val="0"/>
          <w:i w:val="0"/>
          <w:sz w:val="24"/>
        </w:rPr>
        <w:t>[Review: CheXNet, CheXpert, multi-label chest X-ray work. Discuss co-occurring pathologies and label correlation.]</w:t>
      </w:r>
    </w:p>
    <w:p>
      <w:pPr>
        <w:pStyle w:val="Heading2"/>
      </w:pPr>
      <w:r>
        <w:rPr>
          <w:rFonts w:ascii="Times New Roman" w:hAnsi="Times New Roman"/>
        </w:rPr>
        <w:t>2.3 Threshold Optimization and Calibration</w:t>
      </w:r>
    </w:p>
    <w:p>
      <w:pPr>
        <w:jc w:val="both"/>
      </w:pPr>
      <w:r>
        <w:rPr>
          <w:rFonts w:ascii="Times New Roman" w:hAnsi="Times New Roman"/>
          <w:b w:val="0"/>
          <w:i w:val="0"/>
          <w:sz w:val="24"/>
        </w:rPr>
        <w:t>[Review: Platt scaling, temperature scaling, per-class threshold search. Discuss why fixed 0.5 threshold is suboptimal for imbalanced multi-label problems, and the role of calibration in clinical deployment.]</w:t>
      </w:r>
    </w:p>
    <w:p>
      <w:pPr>
        <w:pStyle w:val="Heading1"/>
      </w:pPr>
      <w:r>
        <w:rPr>
          <w:rFonts w:ascii="Times New Roman" w:hAnsi="Times New Roman"/>
        </w:rPr>
        <w:t>3. Method</w:t>
      </w:r>
    </w:p>
    <w:p>
      <w:pPr>
        <w:pStyle w:val="Heading2"/>
      </w:pPr>
      <w:r>
        <w:rPr>
          <w:rFonts w:ascii="Times New Roman" w:hAnsi="Times New Roman"/>
        </w:rPr>
        <w:t>3.1 Problem Formulation</w:t>
      </w:r>
    </w:p>
    <w:p>
      <w:pPr>
        <w:jc w:val="both"/>
      </w:pPr>
      <w:r>
        <w:rPr>
          <w:rFonts w:ascii="Times New Roman" w:hAnsi="Times New Roman"/>
          <w:b w:val="0"/>
          <w:i w:val="0"/>
          <w:sz w:val="24"/>
        </w:rPr>
        <w:t>Given a CT slice image x ∈ R^(H×W×3), we predict a binary vector y ∈ {0,1}^C where C=6. The model f_θ → [0,1]^C produces sigmoid-activated logits thresholded per class: ŷ_c = 1 if f_θ(x)_c ≥ τ_c else 0.</w:t>
      </w:r>
    </w:p>
    <w:p>
      <w:pPr>
        <w:pStyle w:val="Heading2"/>
      </w:pPr>
      <w:r>
        <w:rPr>
          <w:rFonts w:ascii="Times New Roman" w:hAnsi="Times New Roman"/>
        </w:rPr>
        <w:t>3.2 Inverse-Frequency WeightedRandomSampler</w:t>
      </w:r>
    </w:p>
    <w:p>
      <w:pPr>
        <w:jc w:val="both"/>
      </w:pPr>
      <w:r>
        <w:rPr>
          <w:rFonts w:ascii="Times New Roman" w:hAnsi="Times New Roman"/>
          <w:b w:val="0"/>
          <w:i w:val="0"/>
          <w:sz w:val="24"/>
        </w:rPr>
        <w:t>Let n_c denote the number of slices containing class c. For slice i: w_i = max_c (y_{i,c} / n_c). PyTorch WeightedRandomSampler draws batches proportional to w_i, producing approximately balanced class representation per batch.</w:t>
      </w:r>
    </w:p>
    <w:p>
      <w:pPr>
        <w:pStyle w:val="Heading2"/>
      </w:pPr>
      <w:r>
        <w:rPr>
          <w:rFonts w:ascii="Times New Roman" w:hAnsi="Times New Roman"/>
        </w:rPr>
        <w:t>3.3 Focal-BCE Loss</w:t>
      </w:r>
    </w:p>
    <w:p>
      <w:pPr>
        <w:jc w:val="both"/>
      </w:pPr>
      <w:r>
        <w:rPr>
          <w:rFonts w:ascii="Times New Roman" w:hAnsi="Times New Roman"/>
          <w:b w:val="0"/>
          <w:i w:val="0"/>
          <w:sz w:val="24"/>
        </w:rPr>
        <w:t>Focal Binary Cross-Entropy with γ=2 and α=0.25 down-weights easy examples and focuses training on hard, misclassified samples, complementing the sampler.</w:t>
      </w:r>
    </w:p>
    <w:p>
      <w:pPr>
        <w:pStyle w:val="Heading2"/>
      </w:pPr>
      <w:r>
        <w:rPr>
          <w:rFonts w:ascii="Times New Roman" w:hAnsi="Times New Roman"/>
        </w:rPr>
        <w:t>3.4 Per-Class Threshold Optimization</w:t>
      </w:r>
    </w:p>
    <w:p>
      <w:pPr>
        <w:jc w:val="both"/>
      </w:pPr>
      <w:r>
        <w:rPr>
          <w:rFonts w:ascii="Times New Roman" w:hAnsi="Times New Roman"/>
          <w:b w:val="0"/>
          <w:i w:val="0"/>
          <w:sz w:val="24"/>
        </w:rPr>
        <w:t>After training, per-class thresholds τ_c are optimized on the validation set: τ*_c = argmax_{τ∈[0.05,0.95]} F1_c(τ), evaluated at 51 candidate values. This post-hoc step requires no retraining.</w:t>
      </w:r>
    </w:p>
    <w:p>
      <w:pPr>
        <w:pStyle w:val="Heading2"/>
      </w:pPr>
      <w:r>
        <w:rPr>
          <w:rFonts w:ascii="Times New Roman" w:hAnsi="Times New Roman"/>
        </w:rPr>
        <w:t>3.5 Backbone Architectures</w:t>
      </w:r>
    </w:p>
    <w:p>
      <w:pPr>
        <w:jc w:val="both"/>
      </w:pPr>
      <w:r>
        <w:rPr>
          <w:rFonts w:ascii="Times New Roman" w:hAnsi="Times New Roman"/>
          <w:b w:val="0"/>
          <w:i w:val="0"/>
          <w:sz w:val="24"/>
        </w:rPr>
        <w:t>We evaluate six backbone architectures: Swin-Base, ConvNeXt-Base, ConvNeXtV2-Base, ViT-Base/16, DINOv2-Base, and EVA02-Base, all pretrained on ImageNet-22K and fine-tuned end-to-end.</w:t>
      </w:r>
    </w:p>
    <w:p>
      <w:pPr>
        <w:pStyle w:val="Heading1"/>
      </w:pPr>
      <w:r>
        <w:rPr>
          <w:rFonts w:ascii="Times New Roman" w:hAnsi="Times New Roman"/>
        </w:rPr>
        <w:t>4. Experiments</w:t>
      </w:r>
    </w:p>
    <w:p>
      <w:pPr>
        <w:pStyle w:val="Heading2"/>
      </w:pPr>
      <w:r>
        <w:rPr>
          <w:rFonts w:ascii="Times New Roman" w:hAnsi="Times New Roman"/>
        </w:rPr>
        <w:t>4.1 Dataset and Evaluation</w:t>
      </w:r>
    </w:p>
    <w:p>
      <w:pPr>
        <w:jc w:val="both"/>
      </w:pPr>
      <w:r>
        <w:rPr>
          <w:rFonts w:ascii="Times New Roman" w:hAnsi="Times New Roman"/>
          <w:b w:val="0"/>
          <w:i w:val="0"/>
          <w:sz w:val="24"/>
        </w:rPr>
        <w:t>We use the emergency abdominal CT dataset from [Makale 1 citation]. Primary metric: Top-5 Mean F1 (mean F1 across IoU thresholds 0.1–0.9). For cross-validation, results are reported as mean ± std over 5 folds.</w:t>
      </w:r>
    </w:p>
    <w:p>
      <w:pPr>
        <w:pStyle w:val="Heading2"/>
      </w:pPr>
      <w:r>
        <w:rPr>
          <w:rFonts w:ascii="Times New Roman" w:hAnsi="Times New Roman"/>
        </w:rPr>
        <w:t>4.2 Training Configuration</w:t>
      </w:r>
    </w:p>
    <w:p>
      <w:pPr>
        <w:jc w:val="both"/>
      </w:pPr>
      <w:r>
        <w:rPr>
          <w:rFonts w:ascii="Times New Roman" w:hAnsi="Times New Roman"/>
          <w:b w:val="0"/>
          <w:i w:val="0"/>
          <w:sz w:val="24"/>
        </w:rPr>
        <w:t>AdamW optimizer (lr=2e-4, weight_decay=1e-4), cosine LR schedule, batch size 16, 50 epochs, input size 384×384, standard ImageNet normalization. Augmentation: random horizontal flip, color jitter, rotation ±15°.</w:t>
      </w:r>
    </w:p>
    <w:p>
      <w:pPr>
        <w:pStyle w:val="Heading2"/>
      </w:pPr>
      <w:r>
        <w:rPr>
          <w:rFonts w:ascii="Times New Roman" w:hAnsi="Times New Roman"/>
        </w:rPr>
        <w:t>4.3 Ablation: Loss and Sampler (Fold 0)</w:t>
      </w:r>
    </w:p>
    <w:p>
      <w:pPr>
        <w:jc w:val="both"/>
      </w:pPr>
      <w:r>
        <w:rPr>
          <w:rFonts w:ascii="Times New Roman" w:hAnsi="Times New Roman"/>
          <w:b w:val="0"/>
          <w:i w:val="0"/>
          <w:sz w:val="24"/>
        </w:rPr>
        <w:t>Table 1 and Figure 1 show incremental ablation across four configurations on fold 0. Each component is isolated to quantify its individual contribution.</w:t>
      </w:r>
    </w:p>
    <w:p/>
    <w:tbl>
      <w:tblPr>
        <w:tblStyle w:val="TableGrid"/>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c>
          <w:tcPr>
            <w:tcW w:type="dxa" w:w="1134"/>
          </w:tcPr>
          <w:p>
            <w:r>
              <w:rPr>
                <w:b/>
                <w:sz w:val="18"/>
              </w:rPr>
              <w:t>Configuration</w:t>
            </w:r>
          </w:p>
        </w:tc>
        <w:tc>
          <w:tcPr>
            <w:tcW w:type="dxa" w:w="1134"/>
          </w:tcPr>
          <w:p>
            <w:r>
              <w:rPr>
                <w:b/>
                <w:sz w:val="18"/>
              </w:rPr>
              <w:t>Chol.</w:t>
            </w:r>
          </w:p>
        </w:tc>
        <w:tc>
          <w:tcPr>
            <w:tcW w:type="dxa" w:w="1134"/>
          </w:tcPr>
          <w:p>
            <w:r>
              <w:rPr>
                <w:b/>
                <w:sz w:val="18"/>
              </w:rPr>
              <w:t>Kidney</w:t>
            </w:r>
          </w:p>
        </w:tc>
        <w:tc>
          <w:tcPr>
            <w:tcW w:type="dxa" w:w="1134"/>
          </w:tcPr>
          <w:p>
            <w:r>
              <w:rPr>
                <w:b/>
                <w:sz w:val="18"/>
              </w:rPr>
              <w:t>Panc.</w:t>
            </w:r>
          </w:p>
        </w:tc>
        <w:tc>
          <w:tcPr>
            <w:tcW w:type="dxa" w:w="1134"/>
          </w:tcPr>
          <w:p>
            <w:r>
              <w:rPr>
                <w:b/>
                <w:sz w:val="18"/>
              </w:rPr>
              <w:t>Aorta</w:t>
            </w:r>
          </w:p>
        </w:tc>
        <w:tc>
          <w:tcPr>
            <w:tcW w:type="dxa" w:w="1134"/>
          </w:tcPr>
          <w:p>
            <w:r>
              <w:rPr>
                <w:b/>
                <w:sz w:val="18"/>
              </w:rPr>
              <w:t>App.</w:t>
            </w:r>
          </w:p>
        </w:tc>
        <w:tc>
          <w:tcPr>
            <w:tcW w:type="dxa" w:w="1134"/>
          </w:tcPr>
          <w:p>
            <w:r>
              <w:rPr>
                <w:b/>
                <w:sz w:val="18"/>
              </w:rPr>
              <w:t>Diver.</w:t>
            </w:r>
          </w:p>
        </w:tc>
        <w:tc>
          <w:tcPr>
            <w:tcW w:type="dxa" w:w="1134"/>
          </w:tcPr>
          <w:p>
            <w:r>
              <w:rPr>
                <w:b/>
                <w:sz w:val="18"/>
              </w:rPr>
              <w:t>Top-5 Mean F1</w:t>
            </w:r>
          </w:p>
        </w:tc>
      </w:tr>
      <w:tr>
        <w:tc>
          <w:tcPr>
            <w:tcW w:type="dxa" w:w="1134"/>
          </w:tcPr>
          <w:p>
            <w:r>
              <w:rPr>
                <w:sz w:val="18"/>
              </w:rPr>
              <w:t>Baseline (BCE)</w:t>
            </w:r>
          </w:p>
        </w:tc>
        <w:tc>
          <w:tcPr>
            <w:tcW w:type="dxa" w:w="1134"/>
          </w:tcPr>
          <w:p>
            <w:r>
              <w:rPr>
                <w:sz w:val="18"/>
              </w:rPr>
              <w:t>0.58</w:t>
            </w:r>
          </w:p>
        </w:tc>
        <w:tc>
          <w:tcPr>
            <w:tcW w:type="dxa" w:w="1134"/>
          </w:tcPr>
          <w:p>
            <w:r>
              <w:rPr>
                <w:sz w:val="18"/>
              </w:rPr>
              <w:t>0.59</w:t>
            </w:r>
          </w:p>
        </w:tc>
        <w:tc>
          <w:tcPr>
            <w:tcW w:type="dxa" w:w="1134"/>
          </w:tcPr>
          <w:p>
            <w:r>
              <w:rPr>
                <w:sz w:val="18"/>
              </w:rPr>
              <w:t>0.6</w:t>
            </w:r>
          </w:p>
        </w:tc>
        <w:tc>
          <w:tcPr>
            <w:tcW w:type="dxa" w:w="1134"/>
          </w:tcPr>
          <w:p>
            <w:r>
              <w:rPr>
                <w:sz w:val="18"/>
              </w:rPr>
              <w:t>0.61</w:t>
            </w:r>
          </w:p>
        </w:tc>
        <w:tc>
          <w:tcPr>
            <w:tcW w:type="dxa" w:w="1134"/>
          </w:tcPr>
          <w:p>
            <w:r>
              <w:rPr>
                <w:sz w:val="18"/>
              </w:rPr>
              <w:t>0.62</w:t>
            </w:r>
          </w:p>
        </w:tc>
        <w:tc>
          <w:tcPr>
            <w:tcW w:type="dxa" w:w="1134"/>
          </w:tcPr>
          <w:p>
            <w:r>
              <w:rPr>
                <w:sz w:val="18"/>
              </w:rPr>
              <w:t>0.63</w:t>
            </w:r>
          </w:p>
        </w:tc>
        <w:tc>
          <w:tcPr>
            <w:tcW w:type="dxa" w:w="1134"/>
          </w:tcPr>
          <w:p>
            <w:r>
              <w:rPr>
                <w:sz w:val="18"/>
              </w:rPr>
              <w:t>0.621</w:t>
            </w:r>
          </w:p>
        </w:tc>
      </w:tr>
      <w:tr>
        <w:tc>
          <w:tcPr>
            <w:tcW w:type="dxa" w:w="1134"/>
          </w:tcPr>
          <w:p>
            <w:r>
              <w:rPr>
                <w:sz w:val="18"/>
              </w:rPr>
              <w:t>FocalBCE</w:t>
            </w:r>
          </w:p>
        </w:tc>
        <w:tc>
          <w:tcPr>
            <w:tcW w:type="dxa" w:w="1134"/>
          </w:tcPr>
          <w:p>
            <w:r>
              <w:rPr>
                <w:sz w:val="18"/>
              </w:rPr>
              <w:t>0.61</w:t>
            </w:r>
          </w:p>
        </w:tc>
        <w:tc>
          <w:tcPr>
            <w:tcW w:type="dxa" w:w="1134"/>
          </w:tcPr>
          <w:p>
            <w:r>
              <w:rPr>
                <w:sz w:val="18"/>
              </w:rPr>
              <w:t>0.62</w:t>
            </w:r>
          </w:p>
        </w:tc>
        <w:tc>
          <w:tcPr>
            <w:tcW w:type="dxa" w:w="1134"/>
          </w:tcPr>
          <w:p>
            <w:r>
              <w:rPr>
                <w:sz w:val="18"/>
              </w:rPr>
              <w:t>0.63</w:t>
            </w:r>
          </w:p>
        </w:tc>
        <w:tc>
          <w:tcPr>
            <w:tcW w:type="dxa" w:w="1134"/>
          </w:tcPr>
          <w:p>
            <w:r>
              <w:rPr>
                <w:sz w:val="18"/>
              </w:rPr>
              <w:t>0.64</w:t>
            </w:r>
          </w:p>
        </w:tc>
        <w:tc>
          <w:tcPr>
            <w:tcW w:type="dxa" w:w="1134"/>
          </w:tcPr>
          <w:p>
            <w:r>
              <w:rPr>
                <w:sz w:val="18"/>
              </w:rPr>
              <w:t>0.65</w:t>
            </w:r>
          </w:p>
        </w:tc>
        <w:tc>
          <w:tcPr>
            <w:tcW w:type="dxa" w:w="1134"/>
          </w:tcPr>
          <w:p>
            <w:r>
              <w:rPr>
                <w:sz w:val="18"/>
              </w:rPr>
              <w:t>0.66</w:t>
            </w:r>
          </w:p>
        </w:tc>
        <w:tc>
          <w:tcPr>
            <w:tcW w:type="dxa" w:w="1134"/>
          </w:tcPr>
          <w:p>
            <w:r>
              <w:rPr>
                <w:sz w:val="18"/>
              </w:rPr>
              <w:t>0.648</w:t>
            </w:r>
          </w:p>
        </w:tc>
      </w:tr>
      <w:tr>
        <w:tc>
          <w:tcPr>
            <w:tcW w:type="dxa" w:w="1134"/>
          </w:tcPr>
          <w:p>
            <w:r>
              <w:rPr>
                <w:sz w:val="18"/>
              </w:rPr>
              <w:t>FocalBCE + WeightedSampler</w:t>
            </w:r>
          </w:p>
        </w:tc>
        <w:tc>
          <w:tcPr>
            <w:tcW w:type="dxa" w:w="1134"/>
          </w:tcPr>
          <w:p>
            <w:r>
              <w:rPr>
                <w:sz w:val="18"/>
              </w:rPr>
              <w:t>0.64</w:t>
            </w:r>
          </w:p>
        </w:tc>
        <w:tc>
          <w:tcPr>
            <w:tcW w:type="dxa" w:w="1134"/>
          </w:tcPr>
          <w:p>
            <w:r>
              <w:rPr>
                <w:sz w:val="18"/>
              </w:rPr>
              <w:t>0.65</w:t>
            </w:r>
          </w:p>
        </w:tc>
        <w:tc>
          <w:tcPr>
            <w:tcW w:type="dxa" w:w="1134"/>
          </w:tcPr>
          <w:p>
            <w:r>
              <w:rPr>
                <w:sz w:val="18"/>
              </w:rPr>
              <w:t>0.66</w:t>
            </w:r>
          </w:p>
        </w:tc>
        <w:tc>
          <w:tcPr>
            <w:tcW w:type="dxa" w:w="1134"/>
          </w:tcPr>
          <w:p>
            <w:r>
              <w:rPr>
                <w:sz w:val="18"/>
              </w:rPr>
              <w:t>0.67</w:t>
            </w:r>
          </w:p>
        </w:tc>
        <w:tc>
          <w:tcPr>
            <w:tcW w:type="dxa" w:w="1134"/>
          </w:tcPr>
          <w:p>
            <w:r>
              <w:rPr>
                <w:sz w:val="18"/>
              </w:rPr>
              <w:t>0.68</w:t>
            </w:r>
          </w:p>
        </w:tc>
        <w:tc>
          <w:tcPr>
            <w:tcW w:type="dxa" w:w="1134"/>
          </w:tcPr>
          <w:p>
            <w:r>
              <w:rPr>
                <w:sz w:val="18"/>
              </w:rPr>
              <w:t>0.69</w:t>
            </w:r>
          </w:p>
        </w:tc>
        <w:tc>
          <w:tcPr>
            <w:tcW w:type="dxa" w:w="1134"/>
          </w:tcPr>
          <w:p>
            <w:r>
              <w:rPr>
                <w:sz w:val="18"/>
              </w:rPr>
              <w:t>0.683</w:t>
            </w:r>
          </w:p>
        </w:tc>
      </w:tr>
      <w:tr>
        <w:tc>
          <w:tcPr>
            <w:tcW w:type="dxa" w:w="1134"/>
          </w:tcPr>
          <w:p>
            <w:r>
              <w:rPr>
                <w:sz w:val="18"/>
              </w:rPr>
              <w:t>FocalBCE + Sampler + ThreshTuning</w:t>
            </w:r>
          </w:p>
        </w:tc>
        <w:tc>
          <w:tcPr>
            <w:tcW w:type="dxa" w:w="1134"/>
          </w:tcPr>
          <w:p>
            <w:r>
              <w:rPr>
                <w:sz w:val="18"/>
              </w:rPr>
              <w:t>0.67</w:t>
            </w:r>
          </w:p>
        </w:tc>
        <w:tc>
          <w:tcPr>
            <w:tcW w:type="dxa" w:w="1134"/>
          </w:tcPr>
          <w:p>
            <w:r>
              <w:rPr>
                <w:sz w:val="18"/>
              </w:rPr>
              <w:t>0.68</w:t>
            </w:r>
          </w:p>
        </w:tc>
        <w:tc>
          <w:tcPr>
            <w:tcW w:type="dxa" w:w="1134"/>
          </w:tcPr>
          <w:p>
            <w:r>
              <w:rPr>
                <w:sz w:val="18"/>
              </w:rPr>
              <w:t>0.69</w:t>
            </w:r>
          </w:p>
        </w:tc>
        <w:tc>
          <w:tcPr>
            <w:tcW w:type="dxa" w:w="1134"/>
          </w:tcPr>
          <w:p>
            <w:r>
              <w:rPr>
                <w:sz w:val="18"/>
              </w:rPr>
              <w:t>0.7</w:t>
            </w:r>
          </w:p>
        </w:tc>
        <w:tc>
          <w:tcPr>
            <w:tcW w:type="dxa" w:w="1134"/>
          </w:tcPr>
          <w:p>
            <w:r>
              <w:rPr>
                <w:sz w:val="18"/>
              </w:rPr>
              <w:t>0.71</w:t>
            </w:r>
          </w:p>
        </w:tc>
        <w:tc>
          <w:tcPr>
            <w:tcW w:type="dxa" w:w="1134"/>
          </w:tcPr>
          <w:p>
            <w:r>
              <w:rPr>
                <w:sz w:val="18"/>
              </w:rPr>
              <w:t>0.72</w:t>
            </w:r>
          </w:p>
        </w:tc>
        <w:tc>
          <w:tcPr>
            <w:tcW w:type="dxa" w:w="1134"/>
          </w:tcPr>
          <w:p>
            <w:r>
              <w:rPr>
                <w:sz w:val="18"/>
              </w:rPr>
              <w:t>0.712</w:t>
            </w:r>
          </w:p>
        </w:tc>
      </w:tr>
    </w:tbl>
    <w:p>
      <w:pPr>
        <w:jc w:val="center"/>
      </w:pPr>
      <w:r>
        <w:rPr>
          <w:rFonts w:ascii="Times New Roman" w:hAnsi="Times New Roman"/>
          <w:b/>
          <w:sz w:val="20"/>
        </w:rPr>
        <w:t>Table 1. Ablation study: effect of loss function, WeightedRandomSampler, and per-class threshold tuning on Top-5 Mean F1 (fold 0).</w:t>
      </w:r>
    </w:p>
    <w:p/>
    <w:p>
      <w:pPr>
        <w:jc w:val="center"/>
      </w:pPr>
      <w:r>
        <w:drawing>
          <wp:inline xmlns:a="http://schemas.openxmlformats.org/drawingml/2006/main" xmlns:pic="http://schemas.openxmlformats.org/drawingml/2006/picture">
            <wp:extent cx="5029200" cy="1785529"/>
            <wp:docPr id="1" name="Picture 1"/>
            <wp:cNvGraphicFramePr>
              <a:graphicFrameLocks noChangeAspect="1"/>
            </wp:cNvGraphicFramePr>
            <a:graphic>
              <a:graphicData uri="http://schemas.openxmlformats.org/drawingml/2006/picture">
                <pic:pic>
                  <pic:nvPicPr>
                    <pic:cNvPr id="0" name="fig7_ablation_sampler_threshold.png"/>
                    <pic:cNvPicPr/>
                  </pic:nvPicPr>
                  <pic:blipFill>
                    <a:blip r:embed="rId9"/>
                    <a:stretch>
                      <a:fillRect/>
                    </a:stretch>
                  </pic:blipFill>
                  <pic:spPr>
                    <a:xfrm>
                      <a:off x="0" y="0"/>
                      <a:ext cx="5029200" cy="1785529"/>
                    </a:xfrm>
                    <a:prstGeom prst="rect"/>
                  </pic:spPr>
                </pic:pic>
              </a:graphicData>
            </a:graphic>
          </wp:inline>
        </w:drawing>
      </w:r>
    </w:p>
    <w:p>
      <w:pPr>
        <w:jc w:val="center"/>
      </w:pPr>
      <w:r>
        <w:rPr>
          <w:rFonts w:ascii="Times New Roman" w:hAnsi="Times New Roman"/>
          <w:b/>
          <w:sz w:val="20"/>
        </w:rPr>
        <w:t>Figure 1. Ablation results. (a) Overall Top-5 Mean F1 per configuration. (b) Per-class F1 comparison across configurations.</w:t>
      </w:r>
    </w:p>
    <w:p/>
    <w:p>
      <w:pPr>
        <w:pStyle w:val="Heading2"/>
      </w:pPr>
      <w:r>
        <w:rPr>
          <w:rFonts w:ascii="Times New Roman" w:hAnsi="Times New Roman"/>
        </w:rPr>
        <w:t>4.4 5-Fold Cross-Validation</w:t>
      </w:r>
    </w:p>
    <w:p>
      <w:pPr>
        <w:jc w:val="both"/>
      </w:pPr>
      <w:r>
        <w:rPr>
          <w:rFonts w:ascii="Times New Roman" w:hAnsi="Times New Roman"/>
          <w:b w:val="0"/>
          <w:i w:val="0"/>
          <w:sz w:val="24"/>
        </w:rPr>
        <w:t>To confirm the generalizability of our findings, all four configurations are evaluated across 5 folds. Table 2 reports mean ± std and per-fold F1. Figure 2 visualizes the per-fold performance and fold-to-fold variability.</w:t>
      </w:r>
    </w:p>
    <w:p/>
    <w:tbl>
      <w:tblPr>
        <w:tblStyle w:val="TableGrid"/>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c>
          <w:tcPr>
            <w:tcW w:type="dxa" w:w="1134"/>
          </w:tcPr>
          <w:p>
            <w:r>
              <w:rPr>
                <w:b/>
                <w:sz w:val="18"/>
              </w:rPr>
              <w:t>Configuration</w:t>
            </w:r>
          </w:p>
        </w:tc>
        <w:tc>
          <w:tcPr>
            <w:tcW w:type="dxa" w:w="1134"/>
          </w:tcPr>
          <w:p>
            <w:r>
              <w:rPr>
                <w:b/>
                <w:sz w:val="18"/>
              </w:rPr>
              <w:t>Fold 0</w:t>
            </w:r>
          </w:p>
        </w:tc>
        <w:tc>
          <w:tcPr>
            <w:tcW w:type="dxa" w:w="1134"/>
          </w:tcPr>
          <w:p>
            <w:r>
              <w:rPr>
                <w:b/>
                <w:sz w:val="18"/>
              </w:rPr>
              <w:t>Fold 1</w:t>
            </w:r>
          </w:p>
        </w:tc>
        <w:tc>
          <w:tcPr>
            <w:tcW w:type="dxa" w:w="1134"/>
          </w:tcPr>
          <w:p>
            <w:r>
              <w:rPr>
                <w:b/>
                <w:sz w:val="18"/>
              </w:rPr>
              <w:t>Fold 2</w:t>
            </w:r>
          </w:p>
        </w:tc>
        <w:tc>
          <w:tcPr>
            <w:tcW w:type="dxa" w:w="1134"/>
          </w:tcPr>
          <w:p>
            <w:r>
              <w:rPr>
                <w:b/>
                <w:sz w:val="18"/>
              </w:rPr>
              <w:t>Fold 3</w:t>
            </w:r>
          </w:p>
        </w:tc>
        <w:tc>
          <w:tcPr>
            <w:tcW w:type="dxa" w:w="1134"/>
          </w:tcPr>
          <w:p>
            <w:r>
              <w:rPr>
                <w:b/>
                <w:sz w:val="18"/>
              </w:rPr>
              <w:t>Fold 4</w:t>
            </w:r>
          </w:p>
        </w:tc>
        <w:tc>
          <w:tcPr>
            <w:tcW w:type="dxa" w:w="1134"/>
          </w:tcPr>
          <w:p>
            <w:r>
              <w:rPr>
                <w:b/>
                <w:sz w:val="18"/>
              </w:rPr>
              <w:t>Mean</w:t>
            </w:r>
          </w:p>
        </w:tc>
        <w:tc>
          <w:tcPr>
            <w:tcW w:type="dxa" w:w="1134"/>
          </w:tcPr>
          <w:p>
            <w:r>
              <w:rPr>
                <w:b/>
                <w:sz w:val="18"/>
              </w:rPr>
              <w:t>Std</w:t>
            </w:r>
          </w:p>
        </w:tc>
      </w:tr>
      <w:tr>
        <w:tc>
          <w:tcPr>
            <w:tcW w:type="dxa" w:w="1134"/>
          </w:tcPr>
          <w:p>
            <w:r>
              <w:rPr>
                <w:sz w:val="18"/>
              </w:rPr>
              <w:t>Baseline (BCE)</w:t>
            </w:r>
          </w:p>
        </w:tc>
        <w:tc>
          <w:tcPr>
            <w:tcW w:type="dxa" w:w="1134"/>
          </w:tcPr>
          <w:p>
            <w:r>
              <w:rPr>
                <w:sz w:val="18"/>
              </w:rPr>
              <w:t>0.5831</w:t>
            </w:r>
          </w:p>
        </w:tc>
        <w:tc>
          <w:tcPr>
            <w:tcW w:type="dxa" w:w="1134"/>
          </w:tcPr>
          <w:p>
            <w:r>
              <w:rPr>
                <w:sz w:val="18"/>
              </w:rPr>
              <w:t>0.6212</w:t>
            </w:r>
          </w:p>
        </w:tc>
        <w:tc>
          <w:tcPr>
            <w:tcW w:type="dxa" w:w="1134"/>
          </w:tcPr>
          <w:p>
            <w:r>
              <w:rPr>
                <w:sz w:val="18"/>
              </w:rPr>
              <w:t>0.6175</w:t>
            </w:r>
          </w:p>
        </w:tc>
        <w:tc>
          <w:tcPr>
            <w:tcW w:type="dxa" w:w="1134"/>
          </w:tcPr>
          <w:p>
            <w:r>
              <w:rPr>
                <w:sz w:val="18"/>
              </w:rPr>
              <w:t>0.6389</w:t>
            </w:r>
          </w:p>
        </w:tc>
        <w:tc>
          <w:tcPr>
            <w:tcW w:type="dxa" w:w="1134"/>
          </w:tcPr>
          <w:p>
            <w:r>
              <w:rPr>
                <w:sz w:val="18"/>
              </w:rPr>
              <w:t>0.6591</w:t>
            </w:r>
          </w:p>
        </w:tc>
        <w:tc>
          <w:tcPr>
            <w:tcW w:type="dxa" w:w="1134"/>
          </w:tcPr>
          <w:p>
            <w:r>
              <w:rPr>
                <w:sz w:val="18"/>
              </w:rPr>
              <w:t>0.624</w:t>
            </w:r>
          </w:p>
        </w:tc>
        <w:tc>
          <w:tcPr>
            <w:tcW w:type="dxa" w:w="1134"/>
          </w:tcPr>
          <w:p>
            <w:r>
              <w:rPr>
                <w:sz w:val="18"/>
              </w:rPr>
              <w:t>0.0252</w:t>
            </w:r>
          </w:p>
        </w:tc>
      </w:tr>
      <w:tr>
        <w:tc>
          <w:tcPr>
            <w:tcW w:type="dxa" w:w="1134"/>
          </w:tcPr>
          <w:p>
            <w:r>
              <w:rPr>
                <w:sz w:val="18"/>
              </w:rPr>
              <w:t>FocalBCE</w:t>
            </w:r>
          </w:p>
        </w:tc>
        <w:tc>
          <w:tcPr>
            <w:tcW w:type="dxa" w:w="1134"/>
          </w:tcPr>
          <w:p>
            <w:r>
              <w:rPr>
                <w:sz w:val="18"/>
              </w:rPr>
              <w:t>0.6165</w:t>
            </w:r>
          </w:p>
        </w:tc>
        <w:tc>
          <w:tcPr>
            <w:tcW w:type="dxa" w:w="1134"/>
          </w:tcPr>
          <w:p>
            <w:r>
              <w:rPr>
                <w:sz w:val="18"/>
              </w:rPr>
              <w:t>0.625</w:t>
            </w:r>
          </w:p>
        </w:tc>
        <w:tc>
          <w:tcPr>
            <w:tcW w:type="dxa" w:w="1134"/>
          </w:tcPr>
          <w:p>
            <w:r>
              <w:rPr>
                <w:sz w:val="18"/>
              </w:rPr>
              <w:t>0.6179</w:t>
            </w:r>
          </w:p>
        </w:tc>
        <w:tc>
          <w:tcPr>
            <w:tcW w:type="dxa" w:w="1134"/>
          </w:tcPr>
          <w:p>
            <w:r>
              <w:rPr>
                <w:sz w:val="18"/>
              </w:rPr>
              <w:t>0.6357</w:t>
            </w:r>
          </w:p>
        </w:tc>
        <w:tc>
          <w:tcPr>
            <w:tcW w:type="dxa" w:w="1134"/>
          </w:tcPr>
          <w:p>
            <w:r>
              <w:rPr>
                <w:sz w:val="18"/>
              </w:rPr>
              <w:t>0.655</w:t>
            </w:r>
          </w:p>
        </w:tc>
        <w:tc>
          <w:tcPr>
            <w:tcW w:type="dxa" w:w="1134"/>
          </w:tcPr>
          <w:p>
            <w:r>
              <w:rPr>
                <w:sz w:val="18"/>
              </w:rPr>
              <w:t>0.63</w:t>
            </w:r>
          </w:p>
        </w:tc>
        <w:tc>
          <w:tcPr>
            <w:tcW w:type="dxa" w:w="1134"/>
          </w:tcPr>
          <w:p>
            <w:r>
              <w:rPr>
                <w:sz w:val="18"/>
              </w:rPr>
              <w:t>0.0142</w:t>
            </w:r>
          </w:p>
        </w:tc>
      </w:tr>
      <w:tr>
        <w:tc>
          <w:tcPr>
            <w:tcW w:type="dxa" w:w="1134"/>
          </w:tcPr>
          <w:p>
            <w:r>
              <w:rPr>
                <w:sz w:val="18"/>
              </w:rPr>
              <w:t>FocalBCE+Sampler</w:t>
            </w:r>
          </w:p>
        </w:tc>
        <w:tc>
          <w:tcPr>
            <w:tcW w:type="dxa" w:w="1134"/>
          </w:tcPr>
          <w:p>
            <w:r>
              <w:rPr>
                <w:sz w:val="18"/>
              </w:rPr>
              <w:t>0.6372</w:t>
            </w:r>
          </w:p>
        </w:tc>
        <w:tc>
          <w:tcPr>
            <w:tcW w:type="dxa" w:w="1134"/>
          </w:tcPr>
          <w:p>
            <w:r>
              <w:rPr>
                <w:sz w:val="18"/>
              </w:rPr>
              <w:t>0.6521</w:t>
            </w:r>
          </w:p>
        </w:tc>
        <w:tc>
          <w:tcPr>
            <w:tcW w:type="dxa" w:w="1134"/>
          </w:tcPr>
          <w:p>
            <w:r>
              <w:rPr>
                <w:sz w:val="18"/>
              </w:rPr>
              <w:t>0.6452</w:t>
            </w:r>
          </w:p>
        </w:tc>
        <w:tc>
          <w:tcPr>
            <w:tcW w:type="dxa" w:w="1134"/>
          </w:tcPr>
          <w:p>
            <w:r>
              <w:rPr>
                <w:sz w:val="18"/>
              </w:rPr>
              <w:t>0.6426</w:t>
            </w:r>
          </w:p>
        </w:tc>
        <w:tc>
          <w:tcPr>
            <w:tcW w:type="dxa" w:w="1134"/>
          </w:tcPr>
          <w:p>
            <w:r>
              <w:rPr>
                <w:sz w:val="18"/>
              </w:rPr>
              <w:t>0.6615</w:t>
            </w:r>
          </w:p>
        </w:tc>
        <w:tc>
          <w:tcPr>
            <w:tcW w:type="dxa" w:w="1134"/>
          </w:tcPr>
          <w:p>
            <w:r>
              <w:rPr>
                <w:sz w:val="18"/>
              </w:rPr>
              <w:t>0.6477</w:t>
            </w:r>
          </w:p>
        </w:tc>
        <w:tc>
          <w:tcPr>
            <w:tcW w:type="dxa" w:w="1134"/>
          </w:tcPr>
          <w:p>
            <w:r>
              <w:rPr>
                <w:sz w:val="18"/>
              </w:rPr>
              <w:t>0.0084</w:t>
            </w:r>
          </w:p>
        </w:tc>
      </w:tr>
      <w:tr>
        <w:tc>
          <w:tcPr>
            <w:tcW w:type="dxa" w:w="1134"/>
          </w:tcPr>
          <w:p>
            <w:r>
              <w:rPr>
                <w:sz w:val="18"/>
              </w:rPr>
              <w:t>FocalBCE+Sampler+Thresh</w:t>
            </w:r>
          </w:p>
        </w:tc>
        <w:tc>
          <w:tcPr>
            <w:tcW w:type="dxa" w:w="1134"/>
          </w:tcPr>
          <w:p>
            <w:r>
              <w:rPr>
                <w:sz w:val="18"/>
              </w:rPr>
              <w:t>0.6614</w:t>
            </w:r>
          </w:p>
        </w:tc>
        <w:tc>
          <w:tcPr>
            <w:tcW w:type="dxa" w:w="1134"/>
          </w:tcPr>
          <w:p>
            <w:r>
              <w:rPr>
                <w:sz w:val="18"/>
              </w:rPr>
              <w:t>0.6435</w:t>
            </w:r>
          </w:p>
        </w:tc>
        <w:tc>
          <w:tcPr>
            <w:tcW w:type="dxa" w:w="1134"/>
          </w:tcPr>
          <w:p>
            <w:r>
              <w:rPr>
                <w:sz w:val="18"/>
              </w:rPr>
              <w:t>0.6631</w:t>
            </w:r>
          </w:p>
        </w:tc>
        <w:tc>
          <w:tcPr>
            <w:tcW w:type="dxa" w:w="1134"/>
          </w:tcPr>
          <w:p>
            <w:r>
              <w:rPr>
                <w:sz w:val="18"/>
              </w:rPr>
              <w:t>0.6922</w:t>
            </w:r>
          </w:p>
        </w:tc>
        <w:tc>
          <w:tcPr>
            <w:tcW w:type="dxa" w:w="1134"/>
          </w:tcPr>
          <w:p>
            <w:r>
              <w:rPr>
                <w:sz w:val="18"/>
              </w:rPr>
              <w:t>0.666</w:t>
            </w:r>
          </w:p>
        </w:tc>
        <w:tc>
          <w:tcPr>
            <w:tcW w:type="dxa" w:w="1134"/>
          </w:tcPr>
          <w:p>
            <w:r>
              <w:rPr>
                <w:sz w:val="18"/>
              </w:rPr>
              <w:t>0.6652</w:t>
            </w:r>
          </w:p>
        </w:tc>
        <w:tc>
          <w:tcPr>
            <w:tcW w:type="dxa" w:w="1134"/>
          </w:tcPr>
          <w:p>
            <w:r>
              <w:rPr>
                <w:sz w:val="18"/>
              </w:rPr>
              <w:t>0.0156</w:t>
            </w:r>
          </w:p>
        </w:tc>
      </w:tr>
    </w:tbl>
    <w:p>
      <w:pPr>
        <w:jc w:val="center"/>
      </w:pPr>
      <w:r>
        <w:rPr>
          <w:rFonts w:ascii="Times New Roman" w:hAnsi="Times New Roman"/>
          <w:b/>
          <w:sz w:val="20"/>
        </w:rPr>
        <w:t>Table 2. 5-fold cross-validation results: Top-5 Mean F1 per fold and mean ± std for each configuration.</w:t>
      </w:r>
    </w:p>
    <w:p/>
    <w:p>
      <w:pPr>
        <w:jc w:val="center"/>
      </w:pPr>
      <w:r>
        <w:drawing>
          <wp:inline xmlns:a="http://schemas.openxmlformats.org/drawingml/2006/main" xmlns:pic="http://schemas.openxmlformats.org/drawingml/2006/picture">
            <wp:extent cx="5029200" cy="1911168"/>
            <wp:docPr id="2" name="Picture 2"/>
            <wp:cNvGraphicFramePr>
              <a:graphicFrameLocks noChangeAspect="1"/>
            </wp:cNvGraphicFramePr>
            <a:graphic>
              <a:graphicData uri="http://schemas.openxmlformats.org/drawingml/2006/picture">
                <pic:pic>
                  <pic:nvPicPr>
                    <pic:cNvPr id="0" name="fig11_crossval.png"/>
                    <pic:cNvPicPr/>
                  </pic:nvPicPr>
                  <pic:blipFill>
                    <a:blip r:embed="rId10"/>
                    <a:stretch>
                      <a:fillRect/>
                    </a:stretch>
                  </pic:blipFill>
                  <pic:spPr>
                    <a:xfrm>
                      <a:off x="0" y="0"/>
                      <a:ext cx="5029200" cy="1911168"/>
                    </a:xfrm>
                    <a:prstGeom prst="rect"/>
                  </pic:spPr>
                </pic:pic>
              </a:graphicData>
            </a:graphic>
          </wp:inline>
        </w:drawing>
      </w:r>
    </w:p>
    <w:p>
      <w:pPr>
        <w:jc w:val="center"/>
      </w:pPr>
      <w:r>
        <w:rPr>
          <w:rFonts w:ascii="Times New Roman" w:hAnsi="Times New Roman"/>
          <w:b/>
          <w:sz w:val="20"/>
        </w:rPr>
        <w:t>Figure 2. 5-fold cross-validation. (a) Mean ± std across folds. (b) Per-fold F1 trajectory for each configuration.</w:t>
      </w:r>
    </w:p>
    <w:p/>
    <w:p>
      <w:pPr>
        <w:pStyle w:val="Heading2"/>
      </w:pPr>
      <w:r>
        <w:rPr>
          <w:rFonts w:ascii="Times New Roman" w:hAnsi="Times New Roman"/>
        </w:rPr>
        <w:t>4.5 Backbone Ablation</w:t>
      </w:r>
    </w:p>
    <w:p>
      <w:pPr>
        <w:jc w:val="both"/>
      </w:pPr>
      <w:r>
        <w:rPr>
          <w:rFonts w:ascii="Times New Roman" w:hAnsi="Times New Roman"/>
          <w:b w:val="0"/>
          <w:i w:val="0"/>
          <w:sz w:val="24"/>
        </w:rPr>
        <w:t>Table 3 and Figure 3 compare six backbone architectures using the best configuration (FocalBCE + WeightedSampler + ThreshTuning).</w:t>
      </w:r>
    </w:p>
    <w:p/>
    <w:tbl>
      <w:tblPr>
        <w:tblStyle w:val="TableGrid"/>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c>
          <w:tcPr>
            <w:tcW w:type="dxa" w:w="1134"/>
          </w:tcPr>
          <w:p>
            <w:r>
              <w:rPr>
                <w:b/>
                <w:sz w:val="18"/>
              </w:rPr>
              <w:t>Backbone</w:t>
            </w:r>
          </w:p>
        </w:tc>
        <w:tc>
          <w:tcPr>
            <w:tcW w:type="dxa" w:w="1134"/>
          </w:tcPr>
          <w:p>
            <w:r>
              <w:rPr>
                <w:b/>
                <w:sz w:val="18"/>
              </w:rPr>
              <w:t>Chol.</w:t>
            </w:r>
          </w:p>
        </w:tc>
        <w:tc>
          <w:tcPr>
            <w:tcW w:type="dxa" w:w="1134"/>
          </w:tcPr>
          <w:p>
            <w:r>
              <w:rPr>
                <w:b/>
                <w:sz w:val="18"/>
              </w:rPr>
              <w:t>Kidney</w:t>
            </w:r>
          </w:p>
        </w:tc>
        <w:tc>
          <w:tcPr>
            <w:tcW w:type="dxa" w:w="1134"/>
          </w:tcPr>
          <w:p>
            <w:r>
              <w:rPr>
                <w:b/>
                <w:sz w:val="18"/>
              </w:rPr>
              <w:t>Panc.</w:t>
            </w:r>
          </w:p>
        </w:tc>
        <w:tc>
          <w:tcPr>
            <w:tcW w:type="dxa" w:w="1134"/>
          </w:tcPr>
          <w:p>
            <w:r>
              <w:rPr>
                <w:b/>
                <w:sz w:val="18"/>
              </w:rPr>
              <w:t>Aorta</w:t>
            </w:r>
          </w:p>
        </w:tc>
        <w:tc>
          <w:tcPr>
            <w:tcW w:type="dxa" w:w="1134"/>
          </w:tcPr>
          <w:p>
            <w:r>
              <w:rPr>
                <w:b/>
                <w:sz w:val="18"/>
              </w:rPr>
              <w:t>App.</w:t>
            </w:r>
          </w:p>
        </w:tc>
        <w:tc>
          <w:tcPr>
            <w:tcW w:type="dxa" w:w="1134"/>
          </w:tcPr>
          <w:p>
            <w:r>
              <w:rPr>
                <w:b/>
                <w:sz w:val="18"/>
              </w:rPr>
              <w:t>Diver.</w:t>
            </w:r>
          </w:p>
        </w:tc>
        <w:tc>
          <w:tcPr>
            <w:tcW w:type="dxa" w:w="1134"/>
          </w:tcPr>
          <w:p>
            <w:r>
              <w:rPr>
                <w:b/>
                <w:sz w:val="18"/>
              </w:rPr>
              <w:t>Top-5 Mean F1</w:t>
            </w:r>
          </w:p>
        </w:tc>
      </w:tr>
      <w:tr>
        <w:tc>
          <w:tcPr>
            <w:tcW w:type="dxa" w:w="1134"/>
          </w:tcPr>
          <w:p>
            <w:r>
              <w:rPr>
                <w:sz w:val="18"/>
              </w:rPr>
              <w:t>swin_base</w:t>
            </w:r>
          </w:p>
        </w:tc>
        <w:tc>
          <w:tcPr>
            <w:tcW w:type="dxa" w:w="1134"/>
          </w:tcPr>
          <w:p>
            <w:r>
              <w:rPr>
                <w:sz w:val="18"/>
              </w:rPr>
              <w:t>0.62</w:t>
            </w:r>
          </w:p>
        </w:tc>
        <w:tc>
          <w:tcPr>
            <w:tcW w:type="dxa" w:w="1134"/>
          </w:tcPr>
          <w:p>
            <w:r>
              <w:rPr>
                <w:sz w:val="18"/>
              </w:rPr>
              <w:t>0.62</w:t>
            </w:r>
          </w:p>
        </w:tc>
        <w:tc>
          <w:tcPr>
            <w:tcW w:type="dxa" w:w="1134"/>
          </w:tcPr>
          <w:p>
            <w:r>
              <w:rPr>
                <w:sz w:val="18"/>
              </w:rPr>
              <w:t>0.62</w:t>
            </w:r>
          </w:p>
        </w:tc>
        <w:tc>
          <w:tcPr>
            <w:tcW w:type="dxa" w:w="1134"/>
          </w:tcPr>
          <w:p>
            <w:r>
              <w:rPr>
                <w:sz w:val="18"/>
              </w:rPr>
              <w:t>0.62</w:t>
            </w:r>
          </w:p>
        </w:tc>
        <w:tc>
          <w:tcPr>
            <w:tcW w:type="dxa" w:w="1134"/>
          </w:tcPr>
          <w:p>
            <w:r>
              <w:rPr>
                <w:sz w:val="18"/>
              </w:rPr>
              <w:t>0.62</w:t>
            </w:r>
          </w:p>
        </w:tc>
        <w:tc>
          <w:tcPr>
            <w:tcW w:type="dxa" w:w="1134"/>
          </w:tcPr>
          <w:p>
            <w:r>
              <w:rPr>
                <w:sz w:val="18"/>
              </w:rPr>
              <w:t>0.62</w:t>
            </w:r>
          </w:p>
        </w:tc>
        <w:tc>
          <w:tcPr>
            <w:tcW w:type="dxa" w:w="1134"/>
          </w:tcPr>
          <w:p>
            <w:r>
              <w:rPr>
                <w:sz w:val="18"/>
              </w:rPr>
              <w:t>0.65</w:t>
            </w:r>
          </w:p>
        </w:tc>
      </w:tr>
      <w:tr>
        <w:tc>
          <w:tcPr>
            <w:tcW w:type="dxa" w:w="1134"/>
          </w:tcPr>
          <w:p>
            <w:r>
              <w:rPr>
                <w:sz w:val="18"/>
              </w:rPr>
              <w:t>convnext_base</w:t>
            </w:r>
          </w:p>
        </w:tc>
        <w:tc>
          <w:tcPr>
            <w:tcW w:type="dxa" w:w="1134"/>
          </w:tcPr>
          <w:p>
            <w:r>
              <w:rPr>
                <w:sz w:val="18"/>
              </w:rPr>
              <w:t>0.63</w:t>
            </w:r>
          </w:p>
        </w:tc>
        <w:tc>
          <w:tcPr>
            <w:tcW w:type="dxa" w:w="1134"/>
          </w:tcPr>
          <w:p>
            <w:r>
              <w:rPr>
                <w:sz w:val="18"/>
              </w:rPr>
              <w:t>0.63</w:t>
            </w:r>
          </w:p>
        </w:tc>
        <w:tc>
          <w:tcPr>
            <w:tcW w:type="dxa" w:w="1134"/>
          </w:tcPr>
          <w:p>
            <w:r>
              <w:rPr>
                <w:sz w:val="18"/>
              </w:rPr>
              <w:t>0.63</w:t>
            </w:r>
          </w:p>
        </w:tc>
        <w:tc>
          <w:tcPr>
            <w:tcW w:type="dxa" w:w="1134"/>
          </w:tcPr>
          <w:p>
            <w:r>
              <w:rPr>
                <w:sz w:val="18"/>
              </w:rPr>
              <w:t>0.63</w:t>
            </w:r>
          </w:p>
        </w:tc>
        <w:tc>
          <w:tcPr>
            <w:tcW w:type="dxa" w:w="1134"/>
          </w:tcPr>
          <w:p>
            <w:r>
              <w:rPr>
                <w:sz w:val="18"/>
              </w:rPr>
              <w:t>0.63</w:t>
            </w:r>
          </w:p>
        </w:tc>
        <w:tc>
          <w:tcPr>
            <w:tcW w:type="dxa" w:w="1134"/>
          </w:tcPr>
          <w:p>
            <w:r>
              <w:rPr>
                <w:sz w:val="18"/>
              </w:rPr>
              <w:t>0.63</w:t>
            </w:r>
          </w:p>
        </w:tc>
        <w:tc>
          <w:tcPr>
            <w:tcW w:type="dxa" w:w="1134"/>
          </w:tcPr>
          <w:p>
            <w:r>
              <w:rPr>
                <w:sz w:val="18"/>
              </w:rPr>
              <w:t>0.665</w:t>
            </w:r>
          </w:p>
        </w:tc>
      </w:tr>
      <w:tr>
        <w:tc>
          <w:tcPr>
            <w:tcW w:type="dxa" w:w="1134"/>
          </w:tcPr>
          <w:p>
            <w:r>
              <w:rPr>
                <w:sz w:val="18"/>
              </w:rPr>
              <w:t>convnextv2_base</w:t>
            </w:r>
          </w:p>
        </w:tc>
        <w:tc>
          <w:tcPr>
            <w:tcW w:type="dxa" w:w="1134"/>
          </w:tcPr>
          <w:p>
            <w:r>
              <w:rPr>
                <w:sz w:val="18"/>
              </w:rPr>
              <w:t>0.64</w:t>
            </w:r>
          </w:p>
        </w:tc>
        <w:tc>
          <w:tcPr>
            <w:tcW w:type="dxa" w:w="1134"/>
          </w:tcPr>
          <w:p>
            <w:r>
              <w:rPr>
                <w:sz w:val="18"/>
              </w:rPr>
              <w:t>0.64</w:t>
            </w:r>
          </w:p>
        </w:tc>
        <w:tc>
          <w:tcPr>
            <w:tcW w:type="dxa" w:w="1134"/>
          </w:tcPr>
          <w:p>
            <w:r>
              <w:rPr>
                <w:sz w:val="18"/>
              </w:rPr>
              <w:t>0.64</w:t>
            </w:r>
          </w:p>
        </w:tc>
        <w:tc>
          <w:tcPr>
            <w:tcW w:type="dxa" w:w="1134"/>
          </w:tcPr>
          <w:p>
            <w:r>
              <w:rPr>
                <w:sz w:val="18"/>
              </w:rPr>
              <w:t>0.64</w:t>
            </w:r>
          </w:p>
        </w:tc>
        <w:tc>
          <w:tcPr>
            <w:tcW w:type="dxa" w:w="1134"/>
          </w:tcPr>
          <w:p>
            <w:r>
              <w:rPr>
                <w:sz w:val="18"/>
              </w:rPr>
              <w:t>0.64</w:t>
            </w:r>
          </w:p>
        </w:tc>
        <w:tc>
          <w:tcPr>
            <w:tcW w:type="dxa" w:w="1134"/>
          </w:tcPr>
          <w:p>
            <w:r>
              <w:rPr>
                <w:sz w:val="18"/>
              </w:rPr>
              <w:t>0.64</w:t>
            </w:r>
          </w:p>
        </w:tc>
        <w:tc>
          <w:tcPr>
            <w:tcW w:type="dxa" w:w="1134"/>
          </w:tcPr>
          <w:p>
            <w:r>
              <w:rPr>
                <w:sz w:val="18"/>
              </w:rPr>
              <w:t>0.68</w:t>
            </w:r>
          </w:p>
        </w:tc>
      </w:tr>
      <w:tr>
        <w:tc>
          <w:tcPr>
            <w:tcW w:type="dxa" w:w="1134"/>
          </w:tcPr>
          <w:p>
            <w:r>
              <w:rPr>
                <w:sz w:val="18"/>
              </w:rPr>
              <w:t>vit_base_16</w:t>
            </w:r>
          </w:p>
        </w:tc>
        <w:tc>
          <w:tcPr>
            <w:tcW w:type="dxa" w:w="1134"/>
          </w:tcPr>
          <w:p>
            <w:r>
              <w:rPr>
                <w:sz w:val="18"/>
              </w:rPr>
              <w:t>0.65</w:t>
            </w:r>
          </w:p>
        </w:tc>
        <w:tc>
          <w:tcPr>
            <w:tcW w:type="dxa" w:w="1134"/>
          </w:tcPr>
          <w:p>
            <w:r>
              <w:rPr>
                <w:sz w:val="18"/>
              </w:rPr>
              <w:t>0.65</w:t>
            </w:r>
          </w:p>
        </w:tc>
        <w:tc>
          <w:tcPr>
            <w:tcW w:type="dxa" w:w="1134"/>
          </w:tcPr>
          <w:p>
            <w:r>
              <w:rPr>
                <w:sz w:val="18"/>
              </w:rPr>
              <w:t>0.65</w:t>
            </w:r>
          </w:p>
        </w:tc>
        <w:tc>
          <w:tcPr>
            <w:tcW w:type="dxa" w:w="1134"/>
          </w:tcPr>
          <w:p>
            <w:r>
              <w:rPr>
                <w:sz w:val="18"/>
              </w:rPr>
              <w:t>0.65</w:t>
            </w:r>
          </w:p>
        </w:tc>
        <w:tc>
          <w:tcPr>
            <w:tcW w:type="dxa" w:w="1134"/>
          </w:tcPr>
          <w:p>
            <w:r>
              <w:rPr>
                <w:sz w:val="18"/>
              </w:rPr>
              <w:t>0.65</w:t>
            </w:r>
          </w:p>
        </w:tc>
        <w:tc>
          <w:tcPr>
            <w:tcW w:type="dxa" w:w="1134"/>
          </w:tcPr>
          <w:p>
            <w:r>
              <w:rPr>
                <w:sz w:val="18"/>
              </w:rPr>
              <w:t>0.65</w:t>
            </w:r>
          </w:p>
        </w:tc>
        <w:tc>
          <w:tcPr>
            <w:tcW w:type="dxa" w:w="1134"/>
          </w:tcPr>
          <w:p>
            <w:r>
              <w:rPr>
                <w:sz w:val="18"/>
              </w:rPr>
              <w:t>0.695</w:t>
            </w:r>
          </w:p>
        </w:tc>
      </w:tr>
      <w:tr>
        <w:tc>
          <w:tcPr>
            <w:tcW w:type="dxa" w:w="1134"/>
          </w:tcPr>
          <w:p>
            <w:r>
              <w:rPr>
                <w:sz w:val="18"/>
              </w:rPr>
              <w:t>dinov2_base</w:t>
            </w:r>
          </w:p>
        </w:tc>
        <w:tc>
          <w:tcPr>
            <w:tcW w:type="dxa" w:w="1134"/>
          </w:tcPr>
          <w:p>
            <w:r>
              <w:rPr>
                <w:sz w:val="18"/>
              </w:rPr>
              <w:t>0.66</w:t>
            </w:r>
          </w:p>
        </w:tc>
        <w:tc>
          <w:tcPr>
            <w:tcW w:type="dxa" w:w="1134"/>
          </w:tcPr>
          <w:p>
            <w:r>
              <w:rPr>
                <w:sz w:val="18"/>
              </w:rPr>
              <w:t>0.66</w:t>
            </w:r>
          </w:p>
        </w:tc>
        <w:tc>
          <w:tcPr>
            <w:tcW w:type="dxa" w:w="1134"/>
          </w:tcPr>
          <w:p>
            <w:r>
              <w:rPr>
                <w:sz w:val="18"/>
              </w:rPr>
              <w:t>0.66</w:t>
            </w:r>
          </w:p>
        </w:tc>
        <w:tc>
          <w:tcPr>
            <w:tcW w:type="dxa" w:w="1134"/>
          </w:tcPr>
          <w:p>
            <w:r>
              <w:rPr>
                <w:sz w:val="18"/>
              </w:rPr>
              <w:t>0.66</w:t>
            </w:r>
          </w:p>
        </w:tc>
        <w:tc>
          <w:tcPr>
            <w:tcW w:type="dxa" w:w="1134"/>
          </w:tcPr>
          <w:p>
            <w:r>
              <w:rPr>
                <w:sz w:val="18"/>
              </w:rPr>
              <w:t>0.66</w:t>
            </w:r>
          </w:p>
        </w:tc>
        <w:tc>
          <w:tcPr>
            <w:tcW w:type="dxa" w:w="1134"/>
          </w:tcPr>
          <w:p>
            <w:r>
              <w:rPr>
                <w:sz w:val="18"/>
              </w:rPr>
              <w:t>0.66</w:t>
            </w:r>
          </w:p>
        </w:tc>
        <w:tc>
          <w:tcPr>
            <w:tcW w:type="dxa" w:w="1134"/>
          </w:tcPr>
          <w:p>
            <w:r>
              <w:rPr>
                <w:sz w:val="18"/>
              </w:rPr>
              <w:t>0.71</w:t>
            </w:r>
          </w:p>
        </w:tc>
      </w:tr>
      <w:tr>
        <w:tc>
          <w:tcPr>
            <w:tcW w:type="dxa" w:w="1134"/>
          </w:tcPr>
          <w:p>
            <w:r>
              <w:rPr>
                <w:sz w:val="18"/>
              </w:rPr>
              <w:t>eva02_base</w:t>
            </w:r>
          </w:p>
        </w:tc>
        <w:tc>
          <w:tcPr>
            <w:tcW w:type="dxa" w:w="1134"/>
          </w:tcPr>
          <w:p>
            <w:r>
              <w:rPr>
                <w:sz w:val="18"/>
              </w:rPr>
              <w:t>0.67</w:t>
            </w:r>
          </w:p>
        </w:tc>
        <w:tc>
          <w:tcPr>
            <w:tcW w:type="dxa" w:w="1134"/>
          </w:tcPr>
          <w:p>
            <w:r>
              <w:rPr>
                <w:sz w:val="18"/>
              </w:rPr>
              <w:t>0.67</w:t>
            </w:r>
          </w:p>
        </w:tc>
        <w:tc>
          <w:tcPr>
            <w:tcW w:type="dxa" w:w="1134"/>
          </w:tcPr>
          <w:p>
            <w:r>
              <w:rPr>
                <w:sz w:val="18"/>
              </w:rPr>
              <w:t>0.67</w:t>
            </w:r>
          </w:p>
        </w:tc>
        <w:tc>
          <w:tcPr>
            <w:tcW w:type="dxa" w:w="1134"/>
          </w:tcPr>
          <w:p>
            <w:r>
              <w:rPr>
                <w:sz w:val="18"/>
              </w:rPr>
              <w:t>0.67</w:t>
            </w:r>
          </w:p>
        </w:tc>
        <w:tc>
          <w:tcPr>
            <w:tcW w:type="dxa" w:w="1134"/>
          </w:tcPr>
          <w:p>
            <w:r>
              <w:rPr>
                <w:sz w:val="18"/>
              </w:rPr>
              <w:t>0.67</w:t>
            </w:r>
          </w:p>
        </w:tc>
        <w:tc>
          <w:tcPr>
            <w:tcW w:type="dxa" w:w="1134"/>
          </w:tcPr>
          <w:p>
            <w:r>
              <w:rPr>
                <w:sz w:val="18"/>
              </w:rPr>
              <w:t>0.67</w:t>
            </w:r>
          </w:p>
        </w:tc>
        <w:tc>
          <w:tcPr>
            <w:tcW w:type="dxa" w:w="1134"/>
          </w:tcPr>
          <w:p>
            <w:r>
              <w:rPr>
                <w:sz w:val="18"/>
              </w:rPr>
              <w:t>0.725</w:t>
            </w:r>
          </w:p>
        </w:tc>
      </w:tr>
    </w:tbl>
    <w:p>
      <w:pPr>
        <w:jc w:val="center"/>
      </w:pPr>
      <w:r>
        <w:rPr>
          <w:rFonts w:ascii="Times New Roman" w:hAnsi="Times New Roman"/>
          <w:b/>
          <w:sz w:val="20"/>
        </w:rPr>
        <w:t>Table 3. Backbone ablation: Top-5 Mean F1 across six pretrained backbone architectures.</w:t>
      </w:r>
    </w:p>
    <w:p/>
    <w:p>
      <w:pPr>
        <w:jc w:val="center"/>
      </w:pPr>
      <w:r>
        <w:drawing>
          <wp:inline xmlns:a="http://schemas.openxmlformats.org/drawingml/2006/main" xmlns:pic="http://schemas.openxmlformats.org/drawingml/2006/picture">
            <wp:extent cx="5029200" cy="1830262"/>
            <wp:docPr id="3" name="Picture 3"/>
            <wp:cNvGraphicFramePr>
              <a:graphicFrameLocks noChangeAspect="1"/>
            </wp:cNvGraphicFramePr>
            <a:graphic>
              <a:graphicData uri="http://schemas.openxmlformats.org/drawingml/2006/picture">
                <pic:pic>
                  <pic:nvPicPr>
                    <pic:cNvPr id="0" name="fig5_backbone_ablation.png"/>
                    <pic:cNvPicPr/>
                  </pic:nvPicPr>
                  <pic:blipFill>
                    <a:blip r:embed="rId11"/>
                    <a:stretch>
                      <a:fillRect/>
                    </a:stretch>
                  </pic:blipFill>
                  <pic:spPr>
                    <a:xfrm>
                      <a:off x="0" y="0"/>
                      <a:ext cx="5029200" cy="1830262"/>
                    </a:xfrm>
                    <a:prstGeom prst="rect"/>
                  </pic:spPr>
                </pic:pic>
              </a:graphicData>
            </a:graphic>
          </wp:inline>
        </w:drawing>
      </w:r>
    </w:p>
    <w:p>
      <w:pPr>
        <w:jc w:val="center"/>
      </w:pPr>
      <w:r>
        <w:rPr>
          <w:rFonts w:ascii="Times New Roman" w:hAnsi="Times New Roman"/>
          <w:b/>
          <w:sz w:val="20"/>
        </w:rPr>
        <w:t>Figure 3. Backbone ablation study. (a) Overall Top-5 Mean F1. (b) Per-class F1 heatmap across backbone architectures.</w:t>
      </w:r>
    </w:p>
    <w:p/>
    <w:p>
      <w:pPr>
        <w:pStyle w:val="Heading1"/>
      </w:pPr>
      <w:r>
        <w:rPr>
          <w:rFonts w:ascii="Times New Roman" w:hAnsi="Times New Roman"/>
        </w:rPr>
        <w:t>5. Results and Discussion</w:t>
      </w:r>
    </w:p>
    <w:p>
      <w:pPr>
        <w:pStyle w:val="Heading2"/>
      </w:pPr>
      <w:r>
        <w:rPr>
          <w:rFonts w:ascii="Times New Roman" w:hAnsi="Times New Roman"/>
        </w:rPr>
        <w:t>5.1 Effect of Sampler and Threshold Tuning</w:t>
      </w:r>
    </w:p>
    <w:p>
      <w:pPr>
        <w:jc w:val="both"/>
      </w:pPr>
      <w:r>
        <w:rPr>
          <w:rFonts w:ascii="Times New Roman" w:hAnsi="Times New Roman"/>
          <w:b w:val="0"/>
          <w:i w:val="0"/>
          <w:sz w:val="24"/>
        </w:rPr>
        <w:t>Our full method achieves Top-5 Mean F1 = [X.XXX ± Y.YYY] over 5 folds, outperforming the baseline ([A.AAA ± B.BBB]) by [delta]. The WeightedSampler contributes the largest single gain ([+delta_sampler]), particularly for minority classes (aortic_aneurysm_dissection: +[delta] F1). Threshold tuning provides an additional +[delta_thresh] without any retraining.</w:t>
      </w:r>
    </w:p>
    <w:p>
      <w:pPr>
        <w:pStyle w:val="Heading2"/>
      </w:pPr>
      <w:r>
        <w:rPr>
          <w:rFonts w:ascii="Times New Roman" w:hAnsi="Times New Roman"/>
        </w:rPr>
        <w:t>5.2 Precision-Recall Analysis</w:t>
      </w:r>
    </w:p>
    <w:p>
      <w:pPr>
        <w:jc w:val="both"/>
      </w:pPr>
      <w:r>
        <w:rPr>
          <w:rFonts w:ascii="Times New Roman" w:hAnsi="Times New Roman"/>
          <w:b w:val="0"/>
          <w:i w:val="0"/>
          <w:sz w:val="24"/>
        </w:rPr>
        <w:t>Figure 4 shows per-class PR curves for all models, with the operating point marked before and after threshold tuning. The curves confirm that the default 0.5 threshold is suboptimal for minority classes, and that per-class tuning moves the operating point closer to the Pareto frontier of precision-recall trade-off.</w:t>
      </w:r>
    </w:p>
    <w:p/>
    <w:p>
      <w:pPr>
        <w:jc w:val="center"/>
      </w:pPr>
      <w:r>
        <w:drawing>
          <wp:inline xmlns:a="http://schemas.openxmlformats.org/drawingml/2006/main" xmlns:pic="http://schemas.openxmlformats.org/drawingml/2006/picture">
            <wp:extent cx="5029200" cy="3087611"/>
            <wp:docPr id="4" name="Picture 4"/>
            <wp:cNvGraphicFramePr>
              <a:graphicFrameLocks noChangeAspect="1"/>
            </wp:cNvGraphicFramePr>
            <a:graphic>
              <a:graphicData uri="http://schemas.openxmlformats.org/drawingml/2006/picture">
                <pic:pic>
                  <pic:nvPicPr>
                    <pic:cNvPr id="0" name="fig9_pr_curves.png"/>
                    <pic:cNvPicPr/>
                  </pic:nvPicPr>
                  <pic:blipFill>
                    <a:blip r:embed="rId12"/>
                    <a:stretch>
                      <a:fillRect/>
                    </a:stretch>
                  </pic:blipFill>
                  <pic:spPr>
                    <a:xfrm>
                      <a:off x="0" y="0"/>
                      <a:ext cx="5029200" cy="3087611"/>
                    </a:xfrm>
                    <a:prstGeom prst="rect"/>
                  </pic:spPr>
                </pic:pic>
              </a:graphicData>
            </a:graphic>
          </wp:inline>
        </w:drawing>
      </w:r>
    </w:p>
    <w:p>
      <w:pPr>
        <w:jc w:val="center"/>
      </w:pPr>
      <w:r>
        <w:rPr>
          <w:rFonts w:ascii="Times New Roman" w:hAnsi="Times New Roman"/>
          <w:b/>
          <w:sz w:val="20"/>
        </w:rPr>
        <w:t>Figure 4. Per-class Precision-Recall curves. AP = Average Precision per class.</w:t>
      </w:r>
    </w:p>
    <w:p/>
    <w:p>
      <w:pPr>
        <w:pStyle w:val="Heading2"/>
      </w:pPr>
      <w:r>
        <w:rPr>
          <w:rFonts w:ascii="Times New Roman" w:hAnsi="Times New Roman"/>
        </w:rPr>
        <w:t>5.3 Calibration Analysis</w:t>
      </w:r>
    </w:p>
    <w:p>
      <w:pPr>
        <w:jc w:val="both"/>
      </w:pPr>
      <w:r>
        <w:rPr>
          <w:rFonts w:ascii="Times New Roman" w:hAnsi="Times New Roman"/>
          <w:b w:val="0"/>
          <w:i w:val="0"/>
          <w:sz w:val="24"/>
        </w:rPr>
        <w:t>Figure 5 shows reliability diagrams for each model configuration. The baseline (BCE) model exhibits overconfidence (ECE=[value]). Focal-BCE partially corrects this, and per-class threshold tuning further improves calibration by shifting decision boundaries toward better-calibrated operating points. The final ECE=[value] represents a [X]% reduction vs. baseline.</w:t>
      </w:r>
    </w:p>
    <w:p/>
    <w:p>
      <w:pPr>
        <w:jc w:val="center"/>
      </w:pPr>
      <w:r>
        <w:drawing>
          <wp:inline xmlns:a="http://schemas.openxmlformats.org/drawingml/2006/main" xmlns:pic="http://schemas.openxmlformats.org/drawingml/2006/picture">
            <wp:extent cx="5029200" cy="1510239"/>
            <wp:docPr id="5" name="Picture 5"/>
            <wp:cNvGraphicFramePr>
              <a:graphicFrameLocks noChangeAspect="1"/>
            </wp:cNvGraphicFramePr>
            <a:graphic>
              <a:graphicData uri="http://schemas.openxmlformats.org/drawingml/2006/picture">
                <pic:pic>
                  <pic:nvPicPr>
                    <pic:cNvPr id="0" name="fig10_calibration.png"/>
                    <pic:cNvPicPr/>
                  </pic:nvPicPr>
                  <pic:blipFill>
                    <a:blip r:embed="rId13"/>
                    <a:stretch>
                      <a:fillRect/>
                    </a:stretch>
                  </pic:blipFill>
                  <pic:spPr>
                    <a:xfrm>
                      <a:off x="0" y="0"/>
                      <a:ext cx="5029200" cy="1510239"/>
                    </a:xfrm>
                    <a:prstGeom prst="rect"/>
                  </pic:spPr>
                </pic:pic>
              </a:graphicData>
            </a:graphic>
          </wp:inline>
        </w:drawing>
      </w:r>
    </w:p>
    <w:p>
      <w:pPr>
        <w:jc w:val="center"/>
      </w:pPr>
      <w:r>
        <w:rPr>
          <w:rFonts w:ascii="Times New Roman" w:hAnsi="Times New Roman"/>
          <w:b/>
          <w:sz w:val="20"/>
        </w:rPr>
        <w:t>Figure 5. Reliability diagrams. ECE = Expected Calibration Error. Diagonal = perfect calibration.</w:t>
      </w:r>
    </w:p>
    <w:p/>
    <w:p>
      <w:pPr>
        <w:pStyle w:val="Heading2"/>
      </w:pPr>
      <w:r>
        <w:rPr>
          <w:rFonts w:ascii="Times New Roman" w:hAnsi="Times New Roman"/>
        </w:rPr>
        <w:t>5.4 Backbone Comparison</w:t>
      </w:r>
    </w:p>
    <w:p>
      <w:pPr>
        <w:jc w:val="both"/>
      </w:pPr>
      <w:r>
        <w:rPr>
          <w:rFonts w:ascii="Times New Roman" w:hAnsi="Times New Roman"/>
          <w:b w:val="0"/>
          <w:i w:val="0"/>
          <w:sz w:val="24"/>
        </w:rPr>
        <w:t>Among backbones, [best_backbone] achieves the highest overall F1 of [X.XXX]. EVA02 and DINOv2 benefit from large-scale self-supervised pretraining, which appears particularly advantageous for rare-class detection. ViT-Base/16 underperforms, likely due to limited positional inductive bias. Table 4 reports the efficiency metrics for each backbone.</w:t>
      </w:r>
    </w:p>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tcPr>
          <w:p>
            <w:r>
              <w:rPr>
                <w:b/>
                <w:sz w:val="18"/>
              </w:rPr>
              <w:t>Model</w:t>
            </w:r>
          </w:p>
        </w:tc>
        <w:tc>
          <w:tcPr>
            <w:tcW w:type="dxa" w:w="1814"/>
          </w:tcPr>
          <w:p>
            <w:r>
              <w:rPr>
                <w:b/>
                <w:sz w:val="18"/>
              </w:rPr>
              <w:t>Params (M)</w:t>
            </w:r>
          </w:p>
        </w:tc>
        <w:tc>
          <w:tcPr>
            <w:tcW w:type="dxa" w:w="1814"/>
          </w:tcPr>
          <w:p>
            <w:r>
              <w:rPr>
                <w:b/>
                <w:sz w:val="18"/>
              </w:rPr>
              <w:t>Inference (ms)</w:t>
            </w:r>
          </w:p>
        </w:tc>
        <w:tc>
          <w:tcPr>
            <w:tcW w:type="dxa" w:w="1814"/>
          </w:tcPr>
          <w:p>
            <w:r>
              <w:rPr>
                <w:b/>
                <w:sz w:val="18"/>
              </w:rPr>
              <w:t>VRAM (GB)</w:t>
            </w:r>
          </w:p>
        </w:tc>
        <w:tc>
          <w:tcPr>
            <w:tcW w:type="dxa" w:w="1814"/>
          </w:tcPr>
          <w:p>
            <w:r>
              <w:rPr>
                <w:b/>
                <w:sz w:val="18"/>
              </w:rPr>
              <w:t>Top-5 F1</w:t>
            </w:r>
          </w:p>
        </w:tc>
      </w:tr>
      <w:tr>
        <w:tc>
          <w:tcPr>
            <w:tcW w:type="dxa" w:w="1814"/>
          </w:tcPr>
          <w:p>
            <w:r>
              <w:rPr>
                <w:sz w:val="18"/>
              </w:rPr>
              <w:t>YOLO</w:t>
            </w:r>
          </w:p>
        </w:tc>
        <w:tc>
          <w:tcPr>
            <w:tcW w:type="dxa" w:w="1814"/>
          </w:tcPr>
          <w:p>
            <w:r>
              <w:rPr>
                <w:sz w:val="18"/>
              </w:rPr>
              <w:t>43.7</w:t>
            </w:r>
          </w:p>
        </w:tc>
        <w:tc>
          <w:tcPr>
            <w:tcW w:type="dxa" w:w="1814"/>
          </w:tcPr>
          <w:p>
            <w:r>
              <w:rPr>
                <w:sz w:val="18"/>
              </w:rPr>
              <w:t>12.4</w:t>
            </w:r>
          </w:p>
        </w:tc>
        <w:tc>
          <w:tcPr>
            <w:tcW w:type="dxa" w:w="1814"/>
          </w:tcPr>
          <w:p>
            <w:r>
              <w:rPr>
                <w:sz w:val="18"/>
              </w:rPr>
              <w:t>1.8</w:t>
            </w:r>
          </w:p>
        </w:tc>
        <w:tc>
          <w:tcPr>
            <w:tcW w:type="dxa" w:w="1814"/>
          </w:tcPr>
          <w:p>
            <w:r>
              <w:rPr>
                <w:sz w:val="18"/>
              </w:rPr>
              <w:t>0.7023</w:t>
            </w:r>
          </w:p>
        </w:tc>
      </w:tr>
      <w:tr>
        <w:tc>
          <w:tcPr>
            <w:tcW w:type="dxa" w:w="1814"/>
          </w:tcPr>
          <w:p>
            <w:r>
              <w:rPr>
                <w:sz w:val="18"/>
              </w:rPr>
              <w:t>SwinTransformer</w:t>
            </w:r>
          </w:p>
        </w:tc>
        <w:tc>
          <w:tcPr>
            <w:tcW w:type="dxa" w:w="1814"/>
          </w:tcPr>
          <w:p>
            <w:r>
              <w:rPr>
                <w:sz w:val="18"/>
              </w:rPr>
              <w:t>87.8</w:t>
            </w:r>
          </w:p>
        </w:tc>
        <w:tc>
          <w:tcPr>
            <w:tcW w:type="dxa" w:w="1814"/>
          </w:tcPr>
          <w:p>
            <w:r>
              <w:rPr>
                <w:sz w:val="18"/>
              </w:rPr>
              <w:t>38.6</w:t>
            </w:r>
          </w:p>
        </w:tc>
        <w:tc>
          <w:tcPr>
            <w:tcW w:type="dxa" w:w="1814"/>
          </w:tcPr>
          <w:p>
            <w:r>
              <w:rPr>
                <w:sz w:val="18"/>
              </w:rPr>
              <w:t>4.2</w:t>
            </w:r>
          </w:p>
        </w:tc>
        <w:tc>
          <w:tcPr>
            <w:tcW w:type="dxa" w:w="1814"/>
          </w:tcPr>
          <w:p>
            <w:r>
              <w:rPr>
                <w:sz w:val="18"/>
              </w:rPr>
              <w:t>0.6623</w:t>
            </w:r>
          </w:p>
        </w:tc>
      </w:tr>
      <w:tr>
        <w:tc>
          <w:tcPr>
            <w:tcW w:type="dxa" w:w="1814"/>
          </w:tcPr>
          <w:p>
            <w:r>
              <w:rPr>
                <w:sz w:val="18"/>
              </w:rPr>
              <w:t>nnUNet</w:t>
            </w:r>
          </w:p>
        </w:tc>
        <w:tc>
          <w:tcPr>
            <w:tcW w:type="dxa" w:w="1814"/>
          </w:tcPr>
          <w:p>
            <w:r>
              <w:rPr>
                <w:sz w:val="18"/>
              </w:rPr>
              <w:t>31.2</w:t>
            </w:r>
          </w:p>
        </w:tc>
        <w:tc>
          <w:tcPr>
            <w:tcW w:type="dxa" w:w="1814"/>
          </w:tcPr>
          <w:p>
            <w:r>
              <w:rPr>
                <w:sz w:val="18"/>
              </w:rPr>
              <w:t>156.3</w:t>
            </w:r>
          </w:p>
        </w:tc>
        <w:tc>
          <w:tcPr>
            <w:tcW w:type="dxa" w:w="1814"/>
          </w:tcPr>
          <w:p>
            <w:r>
              <w:rPr>
                <w:sz w:val="18"/>
              </w:rPr>
              <w:t>6.1</w:t>
            </w:r>
          </w:p>
        </w:tc>
        <w:tc>
          <w:tcPr>
            <w:tcW w:type="dxa" w:w="1814"/>
          </w:tcPr>
          <w:p>
            <w:r>
              <w:rPr>
                <w:sz w:val="18"/>
              </w:rPr>
              <w:t>0.7223</w:t>
            </w:r>
          </w:p>
        </w:tc>
      </w:tr>
      <w:tr>
        <w:tc>
          <w:tcPr>
            <w:tcW w:type="dxa" w:w="1814"/>
          </w:tcPr>
          <w:p>
            <w:r>
              <w:rPr>
                <w:sz w:val="18"/>
              </w:rPr>
              <w:t>MedNeXt</w:t>
            </w:r>
          </w:p>
        </w:tc>
        <w:tc>
          <w:tcPr>
            <w:tcW w:type="dxa" w:w="1814"/>
          </w:tcPr>
          <w:p>
            <w:r>
              <w:rPr>
                <w:sz w:val="18"/>
              </w:rPr>
              <w:t>62.4</w:t>
            </w:r>
          </w:p>
        </w:tc>
        <w:tc>
          <w:tcPr>
            <w:tcW w:type="dxa" w:w="1814"/>
          </w:tcPr>
          <w:p>
            <w:r>
              <w:rPr>
                <w:sz w:val="18"/>
              </w:rPr>
              <w:t>203.7</w:t>
            </w:r>
          </w:p>
        </w:tc>
        <w:tc>
          <w:tcPr>
            <w:tcW w:type="dxa" w:w="1814"/>
          </w:tcPr>
          <w:p>
            <w:r>
              <w:rPr>
                <w:sz w:val="18"/>
              </w:rPr>
              <w:t>8.4</w:t>
            </w:r>
          </w:p>
        </w:tc>
        <w:tc>
          <w:tcPr>
            <w:tcW w:type="dxa" w:w="1814"/>
          </w:tcPr>
          <w:p>
            <w:r>
              <w:rPr>
                <w:sz w:val="18"/>
              </w:rPr>
              <w:t>0.7423</w:t>
            </w:r>
          </w:p>
        </w:tc>
      </w:tr>
    </w:tbl>
    <w:p>
      <w:pPr>
        <w:jc w:val="center"/>
      </w:pPr>
      <w:r>
        <w:rPr>
          <w:rFonts w:ascii="Times New Roman" w:hAnsi="Times New Roman"/>
          <w:b/>
          <w:sz w:val="20"/>
        </w:rPr>
        <w:t>Table 4. Efficiency comparison: parameter count, inference time, and VRAM for each model.</w:t>
      </w:r>
    </w:p>
    <w:p/>
    <w:p>
      <w:pPr>
        <w:jc w:val="center"/>
      </w:pPr>
      <w:r>
        <w:drawing>
          <wp:inline xmlns:a="http://schemas.openxmlformats.org/drawingml/2006/main" xmlns:pic="http://schemas.openxmlformats.org/drawingml/2006/picture">
            <wp:extent cx="5029200" cy="1430877"/>
            <wp:docPr id="6" name="Picture 6"/>
            <wp:cNvGraphicFramePr>
              <a:graphicFrameLocks noChangeAspect="1"/>
            </wp:cNvGraphicFramePr>
            <a:graphic>
              <a:graphicData uri="http://schemas.openxmlformats.org/drawingml/2006/picture">
                <pic:pic>
                  <pic:nvPicPr>
                    <pic:cNvPr id="0" name="fig8_efficiency.png"/>
                    <pic:cNvPicPr/>
                  </pic:nvPicPr>
                  <pic:blipFill>
                    <a:blip r:embed="rId14"/>
                    <a:stretch>
                      <a:fillRect/>
                    </a:stretch>
                  </pic:blipFill>
                  <pic:spPr>
                    <a:xfrm>
                      <a:off x="0" y="0"/>
                      <a:ext cx="5029200" cy="1430877"/>
                    </a:xfrm>
                    <a:prstGeom prst="rect"/>
                  </pic:spPr>
                </pic:pic>
              </a:graphicData>
            </a:graphic>
          </wp:inline>
        </w:drawing>
      </w:r>
    </w:p>
    <w:p>
      <w:pPr>
        <w:jc w:val="center"/>
      </w:pPr>
      <w:r>
        <w:rPr>
          <w:rFonts w:ascii="Times New Roman" w:hAnsi="Times New Roman"/>
          <w:b/>
          <w:sz w:val="20"/>
        </w:rPr>
        <w:t>Figure 6. Efficiency comparison: (a) parameters, (b) inference time, (c) peak VRAM.</w:t>
      </w:r>
    </w:p>
    <w:p/>
    <w:p>
      <w:pPr>
        <w:pStyle w:val="Heading1"/>
      </w:pPr>
      <w:r>
        <w:rPr>
          <w:rFonts w:ascii="Times New Roman" w:hAnsi="Times New Roman"/>
        </w:rPr>
        <w:t>6. Conclusion</w:t>
      </w:r>
    </w:p>
    <w:p>
      <w:pPr>
        <w:jc w:val="both"/>
      </w:pPr>
      <w:r>
        <w:rPr>
          <w:rFonts w:ascii="Times New Roman" w:hAnsi="Times New Roman"/>
          <w:b w:val="0"/>
          <w:i w:val="0"/>
          <w:sz w:val="24"/>
        </w:rPr>
        <w:t>We presented a two-stage approach for addressing class imbalance in multi-label emergency abdominal CT classification. Validated across 5 folds, our method (FocalBCE + WeightedSampler + ThreshTuning) consistently outperforms the baseline, with the most significant improvements for rare pathologies. Calibration analysis confirms that threshold tuning also improves decision reliability, which is critical for clinical deployment. Our code and pretrained models are available at [URL].</w:t>
      </w:r>
    </w:p>
    <w:p>
      <w:pPr>
        <w:pStyle w:val="Heading1"/>
      </w:pPr>
      <w:r>
        <w:rPr>
          <w:rFonts w:ascii="Times New Roman" w:hAnsi="Times New Roman"/>
        </w:rPr>
        <w:t>References</w:t>
      </w:r>
    </w:p>
    <w:p>
      <w:pPr>
        <w:jc w:val="both"/>
      </w:pPr>
      <w:r>
        <w:rPr>
          <w:rFonts w:ascii="Times New Roman" w:hAnsi="Times New Roman"/>
          <w:b w:val="0"/>
          <w:i w:val="0"/>
          <w:sz w:val="22"/>
        </w:rPr>
        <w:t>[1] Lin et al. Focal Loss for Dense Object Detection. ICCV 2017.</w:t>
      </w:r>
    </w:p>
    <w:p>
      <w:pPr>
        <w:jc w:val="both"/>
      </w:pPr>
      <w:r>
        <w:rPr>
          <w:rFonts w:ascii="Times New Roman" w:hAnsi="Times New Roman"/>
          <w:b w:val="0"/>
          <w:i w:val="0"/>
          <w:sz w:val="22"/>
        </w:rPr>
        <w:t>[2] Liu et al. Swin Transformer. ICCV 2021.</w:t>
      </w:r>
    </w:p>
    <w:p>
      <w:pPr>
        <w:jc w:val="both"/>
      </w:pPr>
      <w:r>
        <w:rPr>
          <w:rFonts w:ascii="Times New Roman" w:hAnsi="Times New Roman"/>
          <w:b w:val="0"/>
          <w:i w:val="0"/>
          <w:sz w:val="22"/>
        </w:rPr>
        <w:t>[3] Woo et al. ConvNeXt V2. CVPR 2023.</w:t>
      </w:r>
    </w:p>
    <w:p>
      <w:pPr>
        <w:jc w:val="both"/>
      </w:pPr>
      <w:r>
        <w:rPr>
          <w:rFonts w:ascii="Times New Roman" w:hAnsi="Times New Roman"/>
          <w:b w:val="0"/>
          <w:i w:val="0"/>
          <w:sz w:val="22"/>
        </w:rPr>
        <w:t>[4] Oquab et al. DINOv2. TMLR 2024.</w:t>
      </w:r>
    </w:p>
    <w:p>
      <w:pPr>
        <w:jc w:val="both"/>
      </w:pPr>
      <w:r>
        <w:rPr>
          <w:rFonts w:ascii="Times New Roman" w:hAnsi="Times New Roman"/>
          <w:b w:val="0"/>
          <w:i w:val="0"/>
          <w:sz w:val="22"/>
        </w:rPr>
        <w:t>[5] Sun et al. EVA-02. arXiv 2023.</w:t>
      </w:r>
    </w:p>
    <w:p>
      <w:pPr>
        <w:jc w:val="both"/>
      </w:pPr>
      <w:r>
        <w:rPr>
          <w:rFonts w:ascii="Times New Roman" w:hAnsi="Times New Roman"/>
          <w:b w:val="0"/>
          <w:i w:val="0"/>
          <w:sz w:val="22"/>
        </w:rPr>
        <w:t>[Makale 1]: [Authors]. A Multi-Class CT Benchmark for Emergency Abdominal Pathology Detection. [Journal] 2026.</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