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BUSINESS RESEARCH REPORT</w:t>
      </w:r>
    </w:p>
    <w:p>
      <w:pPr>
        <w:spacing w:after="800"/>
        <w:jc w:val="center"/>
      </w:pPr>
      <w:r>
        <w:t xml:space="preserve">Mobile car detailing service using eco-friendly products, targeting office parks and residential communities</w:t>
      </w:r>
    </w:p>
    <w:p>
      <w:pPr>
        <w:spacing w:after="1200"/>
        <w:jc w:val="center"/>
      </w:pPr>
      <w:r>
        <w:t xml:space="preserve">Generated: 10/28/2025</w:t>
      </w:r>
    </w:p>
    <w:p>
      <w:pPr>
        <w:pStyle w:val="Heading1"/>
        <w:spacing w:before="400" w:after="200"/>
      </w:pPr>
      <w:r>
        <w:t xml:space="preserve">EXECUTIVE SUMMARY</w:t>
      </w:r>
    </w:p>
    <w:p>
      <w:pPr>
        <w:spacing w:after="100"/>
      </w:pPr>
      <w:r>
        <w:t xml:space="preserve">This financial model outlines the projected five-year performance of a mobile, eco-friendly car detailing service targeting office parks and residential communities. The business is launched with a startup capital of $15,000. The initial challenge is the high monthly operating expense of $3,000, which significantly outweighs the early-stage revenue. This leads to an expected net loss in the first year as the business focuses on aggressive market penetration and customer acquisition.</w:t>
      </w:r>
    </w:p>
    <w:p>
      <w:pPr>
        <w:spacing w:after="100"/>
      </w:pPr>
    </w:p>
    <w:p>
      <w:pPr>
        <w:spacing w:after="100"/>
      </w:pPr>
      <w:r>
        <w:t xml:space="preserve">The model projects a strong growth trajectory, achieving monthly profitability in Month 9 and full-year profitability in Year 2. The strategy hinges on scaling revenue rapidly by securing recurring contracts and building a loyal customer base, which will outpace the slower growth of operating expenses. By Year 5, the business is projected to generate over $130,000 in annual revenue with a net profit margin of approximately 30%. The model indicates a strong long-term return on investment, but success is critically dependent on effective cost management and achieving the ambitious revenue growth targets outlined.</w:t>
      </w:r>
    </w:p>
    <w:p>
      <w:pPr>
        <w:pStyle w:val="Heading1"/>
        <w:pageBreakBefore/>
        <w:spacing w:before="400" w:after="200"/>
      </w:pPr>
      <w:r>
        <w:t xml:space="preserve">FINANCIAL OVERVIEW</w:t>
      </w:r>
    </w:p>
    <w:p>
      <w:pPr>
        <w:pStyle w:val="Heading2"/>
        <w:spacing w:before="200" w:after="100"/>
      </w:pPr>
      <w:r>
        <w:t xml:space="preserve">Key Financial Metrics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Break-Even Month</w:t>
            </w:r>
          </w:p>
        </w:tc>
        <w:tc>
          <w:tcPr>
            <w:tcW w:type="pct" w:w="50%"/>
          </w:tcPr>
          <w:p>
            <w:r>
              <w:t xml:space="preserve">Month 9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1 Total Revenue</w:t>
            </w:r>
          </w:p>
        </w:tc>
        <w:tc>
          <w:tcPr>
            <w:tcW w:type="pct" w:w="50%"/>
          </w:tcPr>
          <w:p>
            <w:r>
              <w:t xml:space="preserve">$40,950.00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1 Net Profit</w:t>
            </w:r>
          </w:p>
        </w:tc>
        <w:tc>
          <w:tcPr>
            <w:tcW w:type="pct" w:w="50%"/>
          </w:tcPr>
          <w:p>
            <w:r>
              <w:t xml:space="preserve">$-7,335.00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Return on Investment (ROI)</w:t>
            </w:r>
          </w:p>
        </w:tc>
        <w:tc>
          <w:tcPr>
            <w:tcW w:type="pct" w:w="50%"/>
          </w:tcPr>
          <w:p>
            <w:r>
              <w:t xml:space="preserve">610.1%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Payback Period</w:t>
            </w:r>
          </w:p>
        </w:tc>
        <w:tc>
          <w:tcPr>
            <w:tcW w:type="pct" w:w="50%"/>
          </w:tcPr>
          <w:p>
            <w:r>
              <w:t xml:space="preserve">2.8 months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5 Revenue (Projected)</w:t>
            </w:r>
          </w:p>
        </w:tc>
        <w:tc>
          <w:tcPr>
            <w:tcW w:type="pct" w:w="50%"/>
          </w:tcPr>
          <w:p>
            <w:r>
              <w:t xml:space="preserve">$131,859.00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5 Net Profit (Projected)</w:t>
            </w:r>
          </w:p>
        </w:tc>
        <w:tc>
          <w:tcPr>
            <w:tcW w:type="pct" w:w="50%"/>
          </w:tcPr>
          <w:p>
            <w:r>
              <w:t xml:space="preserve">$39,593.00</w:t>
            </w:r>
          </w:p>
        </w:tc>
      </w:tr>
    </w:tbl>
    <w:p>
      <w:pPr>
        <w:pStyle w:val="Heading2"/>
        <w:spacing w:before="400" w:after="100"/>
      </w:pPr>
      <w:r>
        <w:t xml:space="preserve">5-Year Financial Projections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</w:rPr>
              <w:t xml:space="preserve">Year</w:t>
            </w:r>
          </w:p>
        </w:tc>
        <w:tc>
          <w:p>
            <w:r>
              <w:rPr>
                <w:b/>
                <w:bCs/>
              </w:rPr>
              <w:t xml:space="preserve">Revenue</w:t>
            </w:r>
          </w:p>
        </w:tc>
        <w:tc>
          <w:p>
            <w:r>
              <w:rPr>
                <w:b/>
                <w:bCs/>
              </w:rPr>
              <w:t xml:space="preserve">Expenses</w:t>
            </w:r>
          </w:p>
        </w:tc>
        <w:tc>
          <w:p>
            <w:r>
              <w:rPr>
                <w:b/>
                <w:bCs/>
              </w:rPr>
              <w:t xml:space="preserve">Gross Profit</w:t>
            </w:r>
          </w:p>
        </w:tc>
        <w:tc>
          <w:p>
            <w:r>
              <w:rPr>
                <w:b/>
                <w:bCs/>
              </w:rPr>
              <w:t xml:space="preserve">Net Profit</w:t>
            </w:r>
          </w:p>
        </w:tc>
      </w:tr>
      <w:tr>
        <w:tc>
          <w:p>
            <w:r>
              <w:t xml:space="preserve">Year 1</w:t>
            </w:r>
          </w:p>
        </w:tc>
        <w:tc>
          <w:p>
            <w:r>
              <w:t xml:space="preserve">$40,950.00</w:t>
            </w:r>
          </w:p>
        </w:tc>
        <w:tc>
          <w:p>
            <w:r>
              <w:t xml:space="preserve">$48,285.00</w:t>
            </w:r>
          </w:p>
        </w:tc>
        <w:tc>
          <w:p>
            <w:r>
              <w:t xml:space="preserve">$28,665.00</w:t>
            </w:r>
          </w:p>
        </w:tc>
        <w:tc>
          <w:p>
            <w:r>
              <w:t xml:space="preserve">$-7,335.00</w:t>
            </w:r>
          </w:p>
        </w:tc>
      </w:tr>
      <w:tr>
        <w:tc>
          <w:p>
            <w:r>
              <w:t xml:space="preserve">Year 2</w:t>
            </w:r>
          </w:p>
        </w:tc>
        <w:tc>
          <w:p>
            <w:r>
              <w:t xml:space="preserve">$65,520.00</w:t>
            </w:r>
          </w:p>
        </w:tc>
        <w:tc>
          <w:p>
            <w:r>
              <w:t xml:space="preserve">$59,256.00</w:t>
            </w:r>
          </w:p>
        </w:tc>
        <w:tc>
          <w:p>
            <w:r>
              <w:t xml:space="preserve">$45,864.00</w:t>
            </w:r>
          </w:p>
        </w:tc>
        <w:tc>
          <w:p>
            <w:r>
              <w:t xml:space="preserve">$6,264.00</w:t>
            </w:r>
          </w:p>
        </w:tc>
      </w:tr>
      <w:tr>
        <w:tc>
          <w:p>
            <w:r>
              <w:t xml:space="preserve">Year 3</w:t>
            </w:r>
          </w:p>
        </w:tc>
        <w:tc>
          <w:p>
            <w:r>
              <w:t xml:space="preserve">$91,728.00</w:t>
            </w:r>
          </w:p>
        </w:tc>
        <w:tc>
          <w:p>
            <w:r>
              <w:t xml:space="preserve">$71,078.00</w:t>
            </w:r>
          </w:p>
        </w:tc>
        <w:tc>
          <w:p>
            <w:r>
              <w:t xml:space="preserve">$64,210.00</w:t>
            </w:r>
          </w:p>
        </w:tc>
        <w:tc>
          <w:p>
            <w:r>
              <w:t xml:space="preserve">$20,650.00</w:t>
            </w:r>
          </w:p>
        </w:tc>
      </w:tr>
      <w:tr>
        <w:tc>
          <w:p>
            <w:r>
              <w:t xml:space="preserve">Year 4</w:t>
            </w:r>
          </w:p>
        </w:tc>
        <w:tc>
          <w:p>
            <w:r>
              <w:t xml:space="preserve">$114,660.00</w:t>
            </w:r>
          </w:p>
        </w:tc>
        <w:tc>
          <w:p>
            <w:r>
              <w:t xml:space="preserve">$82,314.00</w:t>
            </w:r>
          </w:p>
        </w:tc>
        <w:tc>
          <w:p>
            <w:r>
              <w:t xml:space="preserve">$80,262.00</w:t>
            </w:r>
          </w:p>
        </w:tc>
        <w:tc>
          <w:p>
            <w:r>
              <w:t xml:space="preserve">$32,346.00</w:t>
            </w:r>
          </w:p>
        </w:tc>
      </w:tr>
      <w:tr>
        <w:tc>
          <w:p>
            <w:r>
              <w:t xml:space="preserve">Year 5</w:t>
            </w:r>
          </w:p>
        </w:tc>
        <w:tc>
          <w:p>
            <w:r>
              <w:t xml:space="preserve">$131,859.00</w:t>
            </w:r>
          </w:p>
        </w:tc>
        <w:tc>
          <w:p>
            <w:r>
              <w:t xml:space="preserve">$92,266.00</w:t>
            </w:r>
          </w:p>
        </w:tc>
        <w:tc>
          <w:p>
            <w:r>
              <w:t xml:space="preserve">$92,301.00</w:t>
            </w:r>
          </w:p>
        </w:tc>
        <w:tc>
          <w:p>
            <w:r>
              <w:t xml:space="preserve">$39,593.00</w:t>
            </w:r>
          </w:p>
        </w:tc>
      </w:tr>
    </w:tbl>
    <w:p>
      <w:pPr>
        <w:pStyle w:val="Heading1"/>
        <w:pageBreakBefore/>
        <w:spacing w:before="400" w:after="200"/>
      </w:pPr>
      <w:r>
        <w:t xml:space="preserve">RISK ANALYSIS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W w:type="pct" w:w="30%"/>
          </w:tcPr>
          <w:p>
            <w:r>
              <w:rPr>
                <w:b/>
                <w:bCs/>
              </w:rPr>
              <w:t xml:space="preserve">Risk</w:t>
            </w:r>
          </w:p>
        </w:tc>
        <w:tc>
          <w:tcPr>
            <w:tcW w:type="pct" w:w="15%"/>
          </w:tcPr>
          <w:p>
            <w:r>
              <w:rPr>
                <w:b/>
                <w:bCs/>
              </w:rPr>
              <w:t xml:space="preserve">Impact</w:t>
            </w:r>
          </w:p>
        </w:tc>
        <w:tc>
          <w:tcPr>
            <w:tcW w:type="pct" w:w="55%"/>
          </w:tcPr>
          <w:p>
            <w:r>
              <w:rPr>
                <w:b/>
                <w:bCs/>
              </w:rPr>
              <w:t xml:space="preserve">Mitigation Strategy</w:t>
            </w:r>
          </w:p>
        </w:tc>
      </w:tr>
      <w:tr>
        <w:tc>
          <w:p>
            <w:r>
              <w:t xml:space="preserve">Failure to Acquire Customers</w:t>
            </w:r>
          </w:p>
        </w:tc>
        <w:tc>
          <w:p>
            <w:r>
              <w:t xml:space="preserve">High. Inability to scale revenue fast enough to cover the $3,000 monthly operating expenses will lead to rapid cash burn and business failure.</w:t>
            </w:r>
          </w:p>
        </w:tc>
        <w:tc>
          <w:p>
            <w:r>
              <w:t xml:space="preserve">Aggressive, targeted marketing campaigns in specific office parks and residential communities. Offer introductory discounts and forge partnerships with property managers or HOAs to secure a foundational client base.</w:t>
            </w:r>
          </w:p>
        </w:tc>
      </w:tr>
      <w:tr>
        <w:tc>
          <w:p>
            <w:r>
              <w:t xml:space="preserve">High Operating Costs</w:t>
            </w:r>
          </w:p>
        </w:tc>
        <w:tc>
          <w:p>
            <w:r>
              <w:t xml:space="preserve">Medium. Fuel price volatility, insurance costs, and vehicle maintenance can erode profit margins, even as revenue grows.</w:t>
            </w:r>
          </w:p>
        </w:tc>
        <w:tc>
          <w:p>
            <w:r>
              <w:t xml:space="preserve">Implement efficient route planning software to minimize fuel consumption. Regularly review and negotiate with suppliers and insurance providers. Perform preventative vehicle maintenance.</w:t>
            </w:r>
          </w:p>
        </w:tc>
      </w:tr>
      <w:tr>
        <w:tc>
          <w:p>
            <w:r>
              <w:t xml:space="preserve">Intense Competition</w:t>
            </w:r>
          </w:p>
        </w:tc>
        <w:tc>
          <w:p>
            <w:r>
              <w:t xml:space="preserve">Medium. The market includes traditional car washes and other mobile detailers, which can lead to price wars and limit market share.</w:t>
            </w:r>
          </w:p>
        </w:tc>
        <w:tc>
          <w:p>
            <w:r>
              <w:t xml:space="preserve">Strongly differentiate on the 'eco-friendly' value proposition and superior convenience. Build a strong brand identity and focus on customer service to foster loyalty and justify premium pricing.</w:t>
            </w:r>
          </w:p>
        </w:tc>
      </w:tr>
      <w:tr>
        <w:tc>
          <w:p>
            <w:r>
              <w:t xml:space="preserve">Seasonality</w:t>
            </w:r>
          </w:p>
        </w:tc>
        <w:tc>
          <w:p>
            <w:r>
              <w:t xml:space="preserve">Medium. Demand may decrease significantly during harsh winter months or rainy seasons, leading to inconsistent cash flow.</w:t>
            </w:r>
          </w:p>
        </w:tc>
        <w:tc>
          <w:p>
            <w:r>
              <w:t xml:space="preserve">Offer seasonal services like interior-only detailing, protective waxing before winter, or salt removal services. Implement a subscription model to smooth out revenue across the year.</w:t>
            </w:r>
          </w:p>
        </w:tc>
      </w:tr>
    </w:tbl>
    <w:p>
      <w:pPr>
        <w:pStyle w:val="Heading1"/>
        <w:pageBreakBefore/>
        <w:spacing w:before="400" w:after="200"/>
      </w:pPr>
      <w:r>
        <w:t xml:space="preserve">STRATEGIC RECOMMENDATIONS</w:t>
      </w:r>
    </w:p>
    <w:p>
      <w:pPr>
        <w:spacing w:after="200"/>
      </w:pPr>
      <w:r>
        <w:rPr>
          <w:b/>
          <w:bCs/>
        </w:rPr>
        <w:t xml:space="preserve">1. </w:t>
      </w:r>
      <w:r>
        <w:t xml:space="preserve">Prioritize securing corporate contracts with office parks to establish a predictable, high-volume revenue stream early on.</w:t>
      </w:r>
    </w:p>
    <w:p>
      <w:pPr>
        <w:spacing w:after="200"/>
      </w:pPr>
      <w:r>
        <w:rPr>
          <w:b/>
          <w:bCs/>
        </w:rPr>
        <w:t xml:space="preserve">2. </w:t>
      </w:r>
      <w:r>
        <w:t xml:space="preserve">Implement a tiered subscription model for residential communities to create loyal customers and stable, recurring monthly income.</w:t>
      </w:r>
    </w:p>
    <w:p>
      <w:pPr>
        <w:spacing w:after="200"/>
      </w:pPr>
      <w:r>
        <w:rPr>
          <w:b/>
          <w:bCs/>
        </w:rPr>
        <w:t xml:space="preserve">3. </w:t>
      </w:r>
      <w:r>
        <w:t xml:space="preserve">Invest in a quality CRM and scheduling software to optimize routes, manage customer relationships, and minimize travel time and fuel costs.</w:t>
      </w:r>
    </w:p>
    <w:p>
      <w:pPr>
        <w:spacing w:after="200"/>
      </w:pPr>
      <w:r>
        <w:rPr>
          <w:b/>
          <w:bCs/>
        </w:rPr>
        <w:t xml:space="preserve">4. </w:t>
      </w:r>
      <w:r>
        <w:t xml:space="preserve">Launch highly targeted digital marketing campaigns (e.g., on LinkedIn for professionals, Facebook for local communities) emphasizing the convenience and eco-friendly benefits.</w:t>
      </w:r>
    </w:p>
    <w:p>
      <w:pPr>
        <w:spacing w:after="200"/>
      </w:pPr>
      <w:r>
        <w:rPr>
          <w:b/>
          <w:bCs/>
        </w:rPr>
        <w:t xml:space="preserve">5. </w:t>
      </w:r>
      <w:r>
        <w:t xml:space="preserve">Actively seek partnerships with Homeowner Associations (HOAs) and corporate property managers to become a preferred or exclusive vendor.</w:t>
      </w:r>
    </w:p>
    <w:p>
      <w:pPr>
        <w:spacing w:after="200"/>
      </w:pPr>
      <w:r>
        <w:rPr>
          <w:b/>
          <w:bCs/>
        </w:rPr>
        <w:t xml:space="preserve">6. </w:t>
      </w:r>
      <w:r>
        <w:t xml:space="preserve">Continuously monitor cash flow and aggressively manage the $3,000 monthly operating expenses, seeking reductions where possible without compromising quality.</w:t>
      </w:r>
    </w:p>
    <w:p>
      <w:pPr>
        <w:spacing w:after="200"/>
      </w:pPr>
      <w:r>
        <w:rPr>
          <w:b/>
          <w:bCs/>
        </w:rPr>
        <w:t xml:space="preserve">7. </w:t>
      </w:r>
      <w:r>
        <w:t xml:space="preserve">Develop loyalty programs and referral incentives to encourage repeat business and word-of-mouth marketing, which are highly effective in this sector.</w:t>
      </w:r>
    </w:p>
    <w:p>
      <w:pPr>
        <w:pStyle w:val="Heading1"/>
        <w:pageBreakBefore/>
        <w:spacing w:before="400" w:after="200"/>
      </w:pPr>
      <w:r>
        <w:t xml:space="preserve">MARKET ANALYSIS</w:t>
      </w:r>
    </w:p>
    <w:p>
      <w:pPr>
        <w:pStyle w:val="Heading2"/>
        <w:spacing w:after="100"/>
      </w:pPr>
      <w:r>
        <w:t xml:space="preserve">Sector: Mobile Car Wash Business</w:t>
      </w:r>
    </w:p>
    <w:p>
      <w:pPr>
        <w:spacing w:after="100"/>
      </w:pPr>
      <w:r>
        <w:rPr>
          <w:b/>
          <w:bCs/>
        </w:rPr>
        <w:t xml:space="preserve">Investor Persona Fit: </w:t>
      </w:r>
      <w:r>
        <w:t xml:space="preserve">The Operator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Inachee Index Score</w:t>
            </w:r>
          </w:p>
        </w:tc>
        <w:tc>
          <w:tcPr>
            <w:tcW w:type="pct" w:w="40%"/>
          </w:tcPr>
          <w:p>
            <w:r>
              <w:t xml:space="preserve">74/100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Average Startup Cost</w:t>
            </w:r>
          </w:p>
        </w:tc>
        <w:tc>
          <w:tcPr>
            <w:tcW w:type="pct" w:w="40%"/>
          </w:tcPr>
          <w:p>
            <w:r>
              <w:t xml:space="preserve">$10,000.00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Expected Year 1 Revenue</w:t>
            </w:r>
          </w:p>
        </w:tc>
        <w:tc>
          <w:tcPr>
            <w:tcW w:type="pct" w:w="40%"/>
          </w:tcPr>
          <w:p>
            <w:r>
              <w:t xml:space="preserve">$10,800.00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Target Gross Margin</w:t>
            </w:r>
          </w:p>
        </w:tc>
        <w:tc>
          <w:tcPr>
            <w:tcW w:type="pct" w:w="40%"/>
          </w:tcPr>
          <w:p>
            <w:r>
              <w:t xml:space="preserve">70.0%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Expected Year 1 ROI</w:t>
            </w:r>
          </w:p>
        </w:tc>
        <w:tc>
          <w:tcPr>
            <w:tcW w:type="pct" w:w="40%"/>
          </w:tcPr>
          <w:p>
            <w:r>
              <w:t xml:space="preserve">70.0%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ROI Potential</w:t>
            </w:r>
          </w:p>
        </w:tc>
        <w:tc>
          <w:tcPr>
            <w:tcW w:type="pct" w:w="40%"/>
          </w:tcPr>
          <w:p>
            <w:r>
              <w:t xml:space="preserve">5/10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Scalability</w:t>
            </w:r>
          </w:p>
        </w:tc>
        <w:tc>
          <w:tcPr>
            <w:tcW w:type="pct" w:w="40%"/>
          </w:tcPr>
          <w:p>
            <w:r>
              <w:t xml:space="preserve">6/10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Market Resilience</w:t>
            </w:r>
          </w:p>
        </w:tc>
        <w:tc>
          <w:tcPr>
            <w:tcW w:type="pct" w:w="40%"/>
          </w:tcPr>
          <w:p>
            <w:r>
              <w:t xml:space="preserve">7/10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Execution Simplicity</w:t>
            </w:r>
          </w:p>
        </w:tc>
        <w:tc>
          <w:tcPr>
            <w:tcW w:type="pct" w:w="40%"/>
          </w:tcPr>
          <w:p>
            <w:r>
              <w:t xml:space="preserve">7/10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Compliance Simplicity</w:t>
            </w:r>
          </w:p>
        </w:tc>
        <w:tc>
          <w:tcPr>
            <w:tcW w:type="pct" w:w="40%"/>
          </w:tcPr>
          <w:p>
            <w:r>
              <w:t xml:space="preserve">7/10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2025-10-28T03:39:15.377Z</dcterms:created>
  <dcterms:modified xsi:type="dcterms:W3CDTF">2025-10-28T03:39:15.378Z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