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1000" w:after="480"/>
      </w:pPr>
      <w:r>
        <w:rPr>
          <w:rFonts w:ascii="Aptos" w:hAnsi="Aptos"/>
          <w:b/>
          <w:color w:val="067F7A"/>
          <w:sz w:val="28"/>
        </w:rPr>
        <w:t>RAMBELENERGY.COM</w:t>
      </w:r>
    </w:p>
    <w:p>
      <w:pPr>
        <w:pStyle w:val="36"/>
        <w:spacing w:after="120"/>
      </w:pPr>
      <w:r>
        <w:rPr>
          <w:rFonts w:ascii="Aptos Display" w:hAnsi="Aptos Display"/>
          <w:b/>
          <w:color w:val="173B62"/>
          <w:sz w:val="62"/>
        </w:rPr>
        <w:t>Simple Requirement Document</w:t>
      </w:r>
    </w:p>
    <w:tbl>
      <w:tblPr>
        <w:tblStyle w:val="12"/>
        <w:tblW w:w="0" w:type="auto"/>
        <w:tblInd w:w="0" w:type="dxa"/>
        <w:tblLayout w:type="fixed"/>
        <w:tblCellMar>
          <w:top w:w="0" w:type="dxa"/>
          <w:left w:w="108" w:type="dxa"/>
          <w:bottom w:w="0" w:type="dxa"/>
          <w:right w:w="108" w:type="dxa"/>
        </w:tblCellMar>
      </w:tblPr>
      <w:tblGrid>
        <w:gridCol w:w="10080"/>
      </w:tblGrid>
      <w:tr>
        <w:tblPrEx>
          <w:tblCellMar>
            <w:top w:w="0" w:type="dxa"/>
            <w:left w:w="108" w:type="dxa"/>
            <w:bottom w:w="0" w:type="dxa"/>
            <w:right w:w="108" w:type="dxa"/>
          </w:tblCellMar>
        </w:tblPrEx>
        <w:tc>
          <w:tcPr>
            <w:tcW w:w="10080" w:type="dxa"/>
            <w:tcBorders>
              <w:top w:val="single" w:color="3E6FA8" w:sz="0" w:space="0"/>
              <w:left w:val="single" w:color="3E6FA8" w:sz="0" w:space="0"/>
              <w:bottom w:val="single" w:color="3E6FA8" w:sz="0" w:space="0"/>
              <w:right w:val="single" w:color="3E6FA8" w:sz="0" w:space="0"/>
              <w:insideH w:val="single" w:sz="0" w:space="0"/>
              <w:insideV w:val="single" w:sz="0" w:space="0"/>
            </w:tcBorders>
            <w:shd w:val="clear" w:color="auto" w:fill="3E6FA8"/>
            <w:tcMar>
              <w:top w:w="0" w:type="dxa"/>
              <w:left w:w="0" w:type="dxa"/>
              <w:bottom w:w="0" w:type="dxa"/>
              <w:right w:w="0" w:type="dxa"/>
            </w:tcMar>
          </w:tcPr>
          <w:p>
            <w:pPr>
              <w:spacing w:after="0"/>
            </w:pPr>
            <w:r>
              <w:t xml:space="preserve"> </w:t>
            </w:r>
          </w:p>
        </w:tc>
      </w:tr>
    </w:tbl>
    <w:p>
      <w:pPr>
        <w:spacing w:before="200" w:after="560"/>
      </w:pPr>
      <w:r>
        <w:rPr>
          <w:rFonts w:ascii="Aptos Display" w:hAnsi="Aptos Display"/>
          <w:color w:val="607089"/>
          <w:sz w:val="32"/>
        </w:rPr>
        <w:t>Professional Energy Analysis &amp; Sustainability Intelligence Platform</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2880"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Document Item</w:t>
            </w:r>
          </w:p>
        </w:tc>
        <w:tc>
          <w:tcPr>
            <w:tcW w:w="7200"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Details</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Project</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RamBelEnergy.com - Phase 1 Lean MVP</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Primary Focus</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Algeria-Europe energy relations and sustainability intelligence</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Document Purpose</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Define the functional, content, technical and acceptance requirements for the agreed Phase 1 implementation.</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Timeline Basis</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4 weeks, subject to timely feedback and content availability</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Budget Basis</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USD 1,000, excluding third-party and operating costs</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Status</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Requirements baseline for client review and approval</w:t>
            </w:r>
          </w:p>
        </w:tc>
      </w:tr>
    </w:tbl>
    <w:p>
      <w:pPr>
        <w:spacing w:after="20"/>
      </w:pPr>
    </w:p>
    <w:p>
      <w:pPr>
        <w:spacing w:before="360"/>
      </w:pPr>
      <w:r>
        <w:rPr>
          <w:rFonts w:ascii="Aptos" w:hAnsi="Aptos"/>
          <w:b/>
          <w:color w:val="067F7A"/>
          <w:sz w:val="22"/>
        </w:rPr>
        <w:t>Requirement principle: deliver a credible starter platform with controlled functionality and a scalable technical foundation.</w:t>
      </w:r>
    </w:p>
    <w:p>
      <w:r>
        <w:rPr>
          <w:rFonts w:ascii="Aptos" w:hAnsi="Aptos"/>
          <w:color w:val="1D2A36"/>
          <w:sz w:val="20"/>
        </w:rPr>
        <w:br w:type="page"/>
      </w:r>
    </w:p>
    <w:p>
      <w:pPr>
        <w:pStyle w:val="2"/>
        <w:keepNext/>
        <w:spacing w:before="240" w:after="120"/>
      </w:pPr>
      <w:r>
        <w:rPr>
          <w:rFonts w:ascii="Aptos Display" w:hAnsi="Aptos Display"/>
          <w:b/>
          <w:color w:val="173B62"/>
          <w:sz w:val="32"/>
        </w:rPr>
        <w:t>Document Control</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259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Item</w:t>
            </w:r>
          </w:p>
        </w:tc>
        <w:tc>
          <w:tcPr>
            <w:tcW w:w="748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Details</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Document Name</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Simple Requirement Document - Phase 1</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Related Scope</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Phase 1 MVP Scope Document</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Reference Basis</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Approved Phase 1 MVP structure and project direction for RamBelEnergy.com</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Audience</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Client / project owner and development team</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Purpose</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Translate the agreed scope into clear, testable requirements.</w:t>
            </w:r>
          </w:p>
        </w:tc>
      </w:tr>
      <w:tr>
        <w:tblPrEx>
          <w:tblCellMar>
            <w:top w:w="0" w:type="dxa"/>
            <w:left w:w="108" w:type="dxa"/>
            <w:bottom w:w="0" w:type="dxa"/>
            <w:right w:w="108" w:type="dxa"/>
          </w:tblCellMar>
        </w:tblPrEx>
        <w:trPr>
          <w:cantSplit/>
          <w:jc w:val="center"/>
        </w:trPr>
        <w:tc>
          <w:tcPr>
            <w:tcW w:w="259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Change Rule</w:t>
            </w:r>
          </w:p>
        </w:tc>
        <w:tc>
          <w:tcPr>
            <w:tcW w:w="74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New features or expanded content requests require review before implementation.</w:t>
            </w:r>
          </w:p>
        </w:tc>
      </w:tr>
    </w:tbl>
    <w:p>
      <w:pPr>
        <w:spacing w:after="20"/>
      </w:pPr>
    </w:p>
    <w:p>
      <w:pPr>
        <w:pStyle w:val="2"/>
        <w:keepNext/>
        <w:spacing w:before="240" w:after="120"/>
      </w:pPr>
      <w:r>
        <w:rPr>
          <w:rFonts w:ascii="Aptos Display" w:hAnsi="Aptos Display"/>
          <w:b/>
          <w:color w:val="173B62"/>
          <w:sz w:val="32"/>
        </w:rPr>
        <w:t>Contents</w:t>
      </w:r>
    </w:p>
    <w:p>
      <w:pPr>
        <w:spacing w:after="100"/>
      </w:pPr>
      <w:r>
        <w:rPr>
          <w:rFonts w:ascii="Aptos" w:hAnsi="Aptos"/>
          <w:color w:val="1D2A36"/>
          <w:sz w:val="20"/>
        </w:rPr>
        <w:t>1. Purpose and Product Overview</w:t>
      </w:r>
    </w:p>
    <w:p>
      <w:pPr>
        <w:spacing w:after="100"/>
      </w:pPr>
      <w:r>
        <w:rPr>
          <w:rFonts w:ascii="Aptos" w:hAnsi="Aptos"/>
          <w:color w:val="1D2A36"/>
          <w:sz w:val="20"/>
        </w:rPr>
        <w:t>2. Users and Access Levels</w:t>
      </w:r>
    </w:p>
    <w:p>
      <w:pPr>
        <w:spacing w:after="100"/>
      </w:pPr>
      <w:r>
        <w:rPr>
          <w:rFonts w:ascii="Aptos" w:hAnsi="Aptos"/>
          <w:color w:val="1D2A36"/>
          <w:sz w:val="20"/>
        </w:rPr>
        <w:t>3. Functional Requirements - Public Website</w:t>
      </w:r>
    </w:p>
    <w:p>
      <w:pPr>
        <w:spacing w:after="100"/>
      </w:pPr>
      <w:r>
        <w:rPr>
          <w:rFonts w:ascii="Aptos" w:hAnsi="Aptos"/>
          <w:color w:val="1D2A36"/>
          <w:sz w:val="20"/>
        </w:rPr>
        <w:t>4. Functional Requirements - CMS and Administration</w:t>
      </w:r>
    </w:p>
    <w:p>
      <w:pPr>
        <w:pageBreakBefore w:val="0"/>
        <w:spacing w:after="100"/>
      </w:pPr>
      <w:r>
        <w:rPr>
          <w:rFonts w:ascii="Aptos" w:hAnsi="Aptos"/>
          <w:color w:val="1D2A36"/>
          <w:sz w:val="20"/>
        </w:rPr>
        <w:t>5. Functional Requirements - Basic AI Prototype</w:t>
      </w:r>
    </w:p>
    <w:p>
      <w:pPr>
        <w:spacing w:after="100"/>
      </w:pPr>
      <w:r>
        <w:rPr>
          <w:rFonts w:ascii="Aptos" w:hAnsi="Aptos"/>
          <w:color w:val="1D2A36"/>
          <w:sz w:val="20"/>
        </w:rPr>
        <w:t>6. Content and Information Requirements</w:t>
      </w:r>
    </w:p>
    <w:p>
      <w:pPr>
        <w:spacing w:after="100"/>
      </w:pPr>
      <w:r>
        <w:rPr>
          <w:rFonts w:ascii="Aptos" w:hAnsi="Aptos"/>
          <w:color w:val="1D2A36"/>
          <w:sz w:val="20"/>
        </w:rPr>
        <w:t>7. Non-Functional Requirements</w:t>
      </w:r>
    </w:p>
    <w:p>
      <w:pPr>
        <w:spacing w:after="100"/>
      </w:pPr>
      <w:r>
        <w:rPr>
          <w:rFonts w:ascii="Aptos" w:hAnsi="Aptos"/>
          <w:color w:val="1D2A36"/>
          <w:sz w:val="20"/>
        </w:rPr>
        <w:t>8. Data, Integrations and Technical Constraints</w:t>
      </w:r>
    </w:p>
    <w:p>
      <w:pPr>
        <w:spacing w:after="100"/>
      </w:pPr>
      <w:r>
        <w:rPr>
          <w:rFonts w:ascii="Aptos" w:hAnsi="Aptos"/>
          <w:color w:val="1D2A36"/>
          <w:sz w:val="20"/>
        </w:rPr>
        <w:t>9. Assumptions, Dependencies and Client Inputs</w:t>
      </w:r>
    </w:p>
    <w:p>
      <w:pPr>
        <w:spacing w:after="100"/>
      </w:pPr>
      <w:r>
        <w:rPr>
          <w:rFonts w:ascii="Aptos" w:hAnsi="Aptos"/>
          <w:color w:val="1D2A36"/>
          <w:sz w:val="20"/>
        </w:rPr>
        <w:t>10. Exclusions and Future Phase Requirements</w:t>
      </w:r>
    </w:p>
    <w:p>
      <w:pPr>
        <w:spacing w:after="100"/>
      </w:pPr>
      <w:r>
        <w:rPr>
          <w:rFonts w:ascii="Aptos" w:hAnsi="Aptos"/>
          <w:color w:val="1D2A36"/>
          <w:sz w:val="20"/>
        </w:rPr>
        <w:t>11. Requirement Traceability and Acceptance</w:t>
      </w:r>
    </w:p>
    <w:tbl>
      <w:tblPr>
        <w:tblStyle w:val="12"/>
        <w:tblW w:w="0" w:type="auto"/>
        <w:jc w:val="center"/>
        <w:tblLayout w:type="fixed"/>
        <w:tblCellMar>
          <w:top w:w="0" w:type="dxa"/>
          <w:left w:w="108" w:type="dxa"/>
          <w:bottom w:w="0" w:type="dxa"/>
          <w:right w:w="108" w:type="dxa"/>
        </w:tblCellMar>
      </w:tblPr>
      <w:tblGrid>
        <w:gridCol w:w="10080"/>
      </w:tblGrid>
      <w:tr>
        <w:tblPrEx>
          <w:tblCellMar>
            <w:top w:w="0" w:type="dxa"/>
            <w:left w:w="108" w:type="dxa"/>
            <w:bottom w:w="0" w:type="dxa"/>
            <w:right w:w="108" w:type="dxa"/>
          </w:tblCellMar>
        </w:tblPrEx>
        <w:trPr>
          <w:jc w:val="center"/>
        </w:trPr>
        <w:tc>
          <w:tcPr>
            <w:tcW w:w="10080" w:type="dxa"/>
            <w:tcBorders>
              <w:top w:val="single" w:color="E6F4F2" w:sz="0" w:space="0"/>
              <w:left w:val="single" w:color="E6F4F2" w:sz="0" w:space="0"/>
              <w:bottom w:val="single" w:color="E6F4F2" w:sz="0" w:space="0"/>
              <w:right w:val="single" w:color="E6F4F2" w:sz="0" w:space="0"/>
              <w:insideH w:val="single" w:sz="0" w:space="0"/>
              <w:insideV w:val="single" w:sz="0" w:space="0"/>
            </w:tcBorders>
            <w:shd w:val="clear" w:color="auto" w:fill="E6F4F2"/>
            <w:tcMar>
              <w:top w:w="150" w:type="dxa"/>
              <w:left w:w="170" w:type="dxa"/>
              <w:bottom w:w="150" w:type="dxa"/>
              <w:right w:w="170" w:type="dxa"/>
            </w:tcMar>
          </w:tcPr>
          <w:p>
            <w:pPr>
              <w:spacing w:after="80"/>
            </w:pPr>
            <w:r>
              <w:rPr>
                <w:rFonts w:ascii="Aptos" w:hAnsi="Aptos"/>
                <w:b/>
                <w:color w:val="173B62"/>
                <w:sz w:val="21"/>
              </w:rPr>
              <w:t>Scope Boundary</w:t>
            </w:r>
          </w:p>
          <w:p>
            <w:pPr>
              <w:spacing w:after="0"/>
            </w:pPr>
            <w:r>
              <w:rPr>
                <w:rFonts w:ascii="Aptos" w:hAnsi="Aptos"/>
                <w:color w:val="1D2A36"/>
                <w:sz w:val="20"/>
              </w:rPr>
              <w:t>This document defines requirements only for the lean Phase 1 MVP. Full RAG, document indexing, automated news/source monitoring, multilingual AI workflows, interactive dashboards and other SaaS features remain outside Phase 1.</w:t>
            </w:r>
          </w:p>
        </w:tc>
      </w:tr>
    </w:tbl>
    <w:p>
      <w:pPr>
        <w:spacing w:after="0"/>
      </w:pPr>
    </w:p>
    <w:p>
      <w:pPr>
        <w:pStyle w:val="2"/>
        <w:keepNext/>
        <w:spacing w:before="240" w:after="120"/>
      </w:pPr>
      <w:r>
        <w:rPr>
          <w:rFonts w:ascii="Aptos Display" w:hAnsi="Aptos Display"/>
          <w:b/>
          <w:color w:val="173B62"/>
          <w:sz w:val="32"/>
        </w:rPr>
        <w:t>1. Purpose and Product Overview</w:t>
      </w:r>
    </w:p>
    <w:p>
      <w:pPr>
        <w:spacing w:after="120" w:line="259" w:lineRule="auto"/>
      </w:pPr>
      <w:r>
        <w:rPr>
          <w:rFonts w:ascii="Aptos" w:hAnsi="Aptos"/>
          <w:b w:val="0"/>
          <w:i w:val="0"/>
          <w:color w:val="1D2A36"/>
          <w:sz w:val="20"/>
        </w:rPr>
        <w:t>RamBelEnergy.com will be developed as a professional, research-oriented digital platform focused on Algeria-Europe energy relations and sustainability intelligence. The first release is intended to establish credibility, present expert analysis and publications, and introduce limited AI capabilities without representing a full AI knowledge platform.</w:t>
      </w:r>
    </w:p>
    <w:p>
      <w:pPr>
        <w:pStyle w:val="3"/>
        <w:keepNext/>
        <w:spacing w:before="160" w:after="120"/>
      </w:pPr>
      <w:r>
        <w:rPr>
          <w:rFonts w:ascii="Aptos Display" w:hAnsi="Aptos Display"/>
          <w:b/>
          <w:color w:val="067F7A"/>
          <w:sz w:val="24"/>
        </w:rPr>
        <w:t>1.1 Phase 1 Objectives</w:t>
      </w:r>
    </w:p>
    <w:p>
      <w:pPr>
        <w:pStyle w:val="23"/>
        <w:spacing w:after="60"/>
        <w:ind w:left="360"/>
      </w:pPr>
      <w:r>
        <w:rPr>
          <w:rFonts w:ascii="Aptos" w:hAnsi="Aptos"/>
          <w:color w:val="1D2A36"/>
          <w:sz w:val="20"/>
        </w:rPr>
        <w:t>Present Mr. Ramdane's identity and credibility as a journalist, PhD holder and analyst.</w:t>
      </w:r>
    </w:p>
    <w:p>
      <w:pPr>
        <w:pStyle w:val="23"/>
        <w:spacing w:after="60"/>
        <w:ind w:left="360"/>
      </w:pPr>
      <w:r>
        <w:rPr>
          <w:rFonts w:ascii="Aptos" w:hAnsi="Aptos"/>
          <w:color w:val="1D2A36"/>
          <w:sz w:val="20"/>
        </w:rPr>
        <w:t>Publish energy analysis, research references and publication items in an institutional format.</w:t>
      </w:r>
    </w:p>
    <w:p>
      <w:pPr>
        <w:pStyle w:val="23"/>
        <w:spacing w:after="60"/>
        <w:ind w:left="360"/>
      </w:pPr>
      <w:r>
        <w:rPr>
          <w:rFonts w:ascii="Aptos" w:hAnsi="Aptos"/>
          <w:color w:val="1D2A36"/>
          <w:sz w:val="20"/>
        </w:rPr>
        <w:t>Highlight strategic Algeria-Europe energy themes, including the Nigeria-Algeria-Europe pipeline.</w:t>
      </w:r>
    </w:p>
    <w:p>
      <w:pPr>
        <w:pStyle w:val="23"/>
        <w:spacing w:after="60"/>
        <w:ind w:left="360"/>
      </w:pPr>
      <w:r>
        <w:rPr>
          <w:rFonts w:ascii="Aptos" w:hAnsi="Aptos"/>
          <w:color w:val="1D2A36"/>
          <w:sz w:val="20"/>
        </w:rPr>
        <w:t>Provide a simple content management flow for authorized administration.</w:t>
      </w:r>
    </w:p>
    <w:p>
      <w:pPr>
        <w:pStyle w:val="23"/>
        <w:spacing w:after="60"/>
        <w:ind w:left="360"/>
      </w:pPr>
      <w:r>
        <w:rPr>
          <w:rFonts w:ascii="Aptos" w:hAnsi="Aptos"/>
          <w:color w:val="1D2A36"/>
          <w:sz w:val="20"/>
        </w:rPr>
        <w:t>Provide basic AI summarization and a limited assistant prototype based on manually supplied or selected content.</w:t>
      </w:r>
    </w:p>
    <w:p>
      <w:pPr>
        <w:pStyle w:val="23"/>
        <w:spacing w:after="60"/>
        <w:ind w:left="360"/>
      </w:pPr>
      <w:r>
        <w:rPr>
          <w:rFonts w:ascii="Aptos" w:hAnsi="Aptos"/>
          <w:color w:val="1D2A36"/>
          <w:sz w:val="20"/>
        </w:rPr>
        <w:t>Build a clean technical foundation suitable for later AI/RAG and SaaS expansion.</w:t>
      </w:r>
    </w:p>
    <w:p>
      <w:pPr>
        <w:pStyle w:val="3"/>
        <w:keepNext/>
        <w:spacing w:before="160" w:after="120"/>
      </w:pPr>
      <w:r>
        <w:rPr>
          <w:rFonts w:ascii="Aptos Display" w:hAnsi="Aptos Display"/>
          <w:b/>
          <w:color w:val="067F7A"/>
          <w:sz w:val="24"/>
        </w:rPr>
        <w:t>1.2 Phase 1 Product Boundary</w:t>
      </w:r>
    </w:p>
    <w:tbl>
      <w:tblPr>
        <w:tblStyle w:val="12"/>
        <w:tblW w:w="0" w:type="auto"/>
        <w:jc w:val="center"/>
        <w:tblLayout w:type="fixed"/>
        <w:tblCellMar>
          <w:top w:w="0" w:type="dxa"/>
          <w:left w:w="108" w:type="dxa"/>
          <w:bottom w:w="0" w:type="dxa"/>
          <w:right w:w="108" w:type="dxa"/>
        </w:tblCellMar>
      </w:tblPr>
      <w:tblGrid>
        <w:gridCol w:w="10080"/>
      </w:tblGrid>
      <w:tr>
        <w:tblPrEx>
          <w:tblCellMar>
            <w:top w:w="0" w:type="dxa"/>
            <w:left w:w="108" w:type="dxa"/>
            <w:bottom w:w="0" w:type="dxa"/>
            <w:right w:w="108" w:type="dxa"/>
          </w:tblCellMar>
        </w:tblPrEx>
        <w:trPr>
          <w:jc w:val="center"/>
        </w:trPr>
        <w:tc>
          <w:tcPr>
            <w:tcW w:w="10080" w:type="dxa"/>
            <w:tcBorders>
              <w:top w:val="single" w:color="EAF2F8" w:sz="0" w:space="0"/>
              <w:left w:val="single" w:color="EAF2F8" w:sz="0" w:space="0"/>
              <w:bottom w:val="single" w:color="EAF2F8" w:sz="0" w:space="0"/>
              <w:right w:val="single" w:color="EAF2F8" w:sz="0" w:space="0"/>
              <w:insideH w:val="single" w:sz="0" w:space="0"/>
              <w:insideV w:val="single" w:sz="0" w:space="0"/>
            </w:tcBorders>
            <w:shd w:val="clear" w:color="auto" w:fill="EAF2F8"/>
            <w:tcMar>
              <w:top w:w="150" w:type="dxa"/>
              <w:left w:w="170" w:type="dxa"/>
              <w:bottom w:w="150" w:type="dxa"/>
              <w:right w:w="170" w:type="dxa"/>
            </w:tcMar>
          </w:tcPr>
          <w:p>
            <w:pPr>
              <w:spacing w:after="80"/>
            </w:pPr>
            <w:r>
              <w:rPr>
                <w:rFonts w:ascii="Aptos" w:hAnsi="Aptos"/>
                <w:b/>
                <w:color w:val="173B62"/>
                <w:sz w:val="21"/>
              </w:rPr>
              <w:t>Lean MVP Requirement</w:t>
            </w:r>
          </w:p>
          <w:p>
            <w:pPr>
              <w:spacing w:after="0"/>
            </w:pPr>
            <w:r>
              <w:rPr>
                <w:rFonts w:ascii="Aptos" w:hAnsi="Aptos"/>
                <w:color w:val="1D2A36"/>
                <w:sz w:val="20"/>
              </w:rPr>
              <w:t>The platform must look professional and credible from launch, while keeping functionality deliberately limited to the agreed public pages, basic CMS, basic AI prototype, deployment and lightweight documentation.</w:t>
            </w:r>
          </w:p>
        </w:tc>
      </w:tr>
    </w:tbl>
    <w:p>
      <w:pPr>
        <w:spacing w:after="0"/>
      </w:pPr>
    </w:p>
    <w:p>
      <w:pPr>
        <w:pStyle w:val="2"/>
        <w:keepNext/>
        <w:spacing w:before="240" w:after="120"/>
      </w:pPr>
      <w:r>
        <w:rPr>
          <w:rFonts w:ascii="Aptos Display" w:hAnsi="Aptos Display"/>
          <w:b/>
          <w:color w:val="173B62"/>
          <w:sz w:val="32"/>
        </w:rPr>
        <w:t>2. Users and Access Levels</w:t>
      </w:r>
    </w:p>
    <w:tbl>
      <w:tblPr>
        <w:tblStyle w:val="12"/>
        <w:tblW w:w="0" w:type="auto"/>
        <w:jc w:val="center"/>
        <w:tblLayout w:type="fixed"/>
        <w:tblCellMar>
          <w:top w:w="0" w:type="dxa"/>
          <w:left w:w="108" w:type="dxa"/>
          <w:bottom w:w="0" w:type="dxa"/>
          <w:right w:w="108" w:type="dxa"/>
        </w:tblCellMar>
      </w:tblPr>
      <w:tblGrid>
        <w:gridCol w:w="3360"/>
        <w:gridCol w:w="3360"/>
        <w:gridCol w:w="3360"/>
      </w:tblGrid>
      <w:tr>
        <w:tblPrEx>
          <w:tblCellMar>
            <w:top w:w="0" w:type="dxa"/>
            <w:left w:w="108" w:type="dxa"/>
            <w:bottom w:w="0" w:type="dxa"/>
            <w:right w:w="108" w:type="dxa"/>
          </w:tblCellMar>
        </w:tblPrEx>
        <w:trPr>
          <w:cantSplit/>
          <w:tblHeader/>
          <w:jc w:val="center"/>
        </w:trPr>
        <w:tc>
          <w:tcPr>
            <w:tcW w:w="1944"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Role</w:t>
            </w:r>
          </w:p>
        </w:tc>
        <w:tc>
          <w:tcPr>
            <w:tcW w:w="424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Description</w:t>
            </w:r>
          </w:p>
        </w:tc>
        <w:tc>
          <w:tcPr>
            <w:tcW w:w="388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Required Access</w:t>
            </w:r>
          </w:p>
        </w:tc>
      </w:tr>
      <w:tr>
        <w:tblPrEx>
          <w:tblCellMar>
            <w:top w:w="0" w:type="dxa"/>
            <w:left w:w="108" w:type="dxa"/>
            <w:bottom w:w="0" w:type="dxa"/>
            <w:right w:w="108" w:type="dxa"/>
          </w:tblCellMar>
        </w:tblPrEx>
        <w:trPr>
          <w:cantSplit/>
          <w:jc w:val="center"/>
        </w:trPr>
        <w:tc>
          <w:tcPr>
            <w:tcW w:w="1944"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Public Visitor</w:t>
            </w:r>
          </w:p>
        </w:tc>
        <w:tc>
          <w:tcPr>
            <w:tcW w:w="42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Reader interested in energy analysis, research and the platform profile.</w:t>
            </w:r>
          </w:p>
        </w:tc>
        <w:tc>
          <w:tcPr>
            <w:tcW w:w="38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View public pages, articles, publications and approved public AI/preview content.</w:t>
            </w:r>
          </w:p>
        </w:tc>
      </w:tr>
      <w:tr>
        <w:tblPrEx>
          <w:tblCellMar>
            <w:top w:w="0" w:type="dxa"/>
            <w:left w:w="108" w:type="dxa"/>
            <w:bottom w:w="0" w:type="dxa"/>
            <w:right w:w="108" w:type="dxa"/>
          </w:tblCellMar>
        </w:tblPrEx>
        <w:trPr>
          <w:cantSplit/>
          <w:jc w:val="center"/>
        </w:trPr>
        <w:tc>
          <w:tcPr>
            <w:tcW w:w="1944"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Administrator</w:t>
            </w:r>
          </w:p>
        </w:tc>
        <w:tc>
          <w:tcPr>
            <w:tcW w:w="42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Authorized content manager for the platform.</w:t>
            </w:r>
          </w:p>
        </w:tc>
        <w:tc>
          <w:tcPr>
            <w:tcW w:w="38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Secure login; create/edit/delete articles; manage publications and agreed basic content; initiate supported AI summarization.</w:t>
            </w:r>
          </w:p>
        </w:tc>
      </w:tr>
      <w:tr>
        <w:tblPrEx>
          <w:tblCellMar>
            <w:top w:w="0" w:type="dxa"/>
            <w:left w:w="108" w:type="dxa"/>
            <w:bottom w:w="0" w:type="dxa"/>
            <w:right w:w="108" w:type="dxa"/>
          </w:tblCellMar>
        </w:tblPrEx>
        <w:trPr>
          <w:cantSplit/>
          <w:jc w:val="center"/>
        </w:trPr>
        <w:tc>
          <w:tcPr>
            <w:tcW w:w="1944"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Project Owner / Client</w:t>
            </w:r>
          </w:p>
        </w:tc>
        <w:tc>
          <w:tcPr>
            <w:tcW w:w="42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Approves content, direction and delivered scope.</w:t>
            </w:r>
          </w:p>
        </w:tc>
        <w:tc>
          <w:tcPr>
            <w:tcW w:w="388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Provides approved content/materials and reviews milestone outputs.</w:t>
            </w:r>
          </w:p>
        </w:tc>
      </w:tr>
    </w:tbl>
    <w:p>
      <w:pPr>
        <w:spacing w:after="20"/>
      </w:pPr>
    </w:p>
    <w:p>
      <w:pPr>
        <w:pStyle w:val="2"/>
        <w:keepNext/>
        <w:spacing w:before="240" w:after="120"/>
      </w:pPr>
      <w:r>
        <w:rPr>
          <w:rFonts w:ascii="Aptos Display" w:hAnsi="Aptos Display"/>
          <w:b/>
          <w:color w:val="173B62"/>
          <w:sz w:val="32"/>
        </w:rPr>
        <w:t>3. Functional Requirements - Public Website</w:t>
      </w:r>
    </w:p>
    <w:p>
      <w:pPr>
        <w:spacing w:after="120" w:line="259" w:lineRule="auto"/>
      </w:pPr>
      <w:r>
        <w:rPr>
          <w:rFonts w:ascii="Aptos" w:hAnsi="Aptos"/>
          <w:b w:val="0"/>
          <w:i w:val="0"/>
          <w:color w:val="1D2A36"/>
          <w:sz w:val="20"/>
        </w:rPr>
        <w:t>Priority key: Must = required for Phase 1 completion; Should = included when necessary for complete presentation within the approved design; Future = displayed only as a preview or roadmap indication.</w:t>
      </w:r>
    </w:p>
    <w:tbl>
      <w:tblPr>
        <w:tblStyle w:val="12"/>
        <w:tblW w:w="0" w:type="auto"/>
        <w:jc w:val="center"/>
        <w:tblLayout w:type="fixed"/>
        <w:tblCellMar>
          <w:top w:w="0" w:type="dxa"/>
          <w:left w:w="108" w:type="dxa"/>
          <w:bottom w:w="0" w:type="dxa"/>
          <w:right w:w="108" w:type="dxa"/>
        </w:tblCellMar>
      </w:tblPr>
      <w:tblGrid>
        <w:gridCol w:w="2016"/>
        <w:gridCol w:w="2016"/>
        <w:gridCol w:w="2016"/>
        <w:gridCol w:w="2016"/>
        <w:gridCol w:w="2016"/>
      </w:tblGrid>
      <w:tr>
        <w:tblPrEx>
          <w:tblCellMar>
            <w:top w:w="0" w:type="dxa"/>
            <w:left w:w="108" w:type="dxa"/>
            <w:bottom w:w="0" w:type="dxa"/>
            <w:right w:w="108" w:type="dxa"/>
          </w:tblCellMar>
        </w:tblPrEx>
        <w:trPr>
          <w:cantSplit/>
          <w:tblHeader/>
          <w:jc w:val="center"/>
        </w:trPr>
        <w:tc>
          <w:tcPr>
            <w:tcW w:w="1037"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ID</w:t>
            </w:r>
          </w:p>
        </w:tc>
        <w:tc>
          <w:tcPr>
            <w:tcW w:w="93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Priority</w:t>
            </w:r>
          </w:p>
        </w:tc>
        <w:tc>
          <w:tcPr>
            <w:tcW w:w="165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Feature</w:t>
            </w:r>
          </w:p>
        </w:tc>
        <w:tc>
          <w:tcPr>
            <w:tcW w:w="367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Requirement</w:t>
            </w:r>
          </w:p>
        </w:tc>
        <w:tc>
          <w:tcPr>
            <w:tcW w:w="2779"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Acceptance Criteria</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FR-PUB-01</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Global site structure</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platform shall provide consistent navigation to Home, About/Profile, News/Analysis and Research/Publications pages.</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 visitor can access each public page from the site navigation on desktop and mobile.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FR-PUB-02</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Homepage</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The homepage shall present the platform hero, mission, featured analysis, Algeria-Europe energy focus, pipeline highlight, research/publication preview, AI/Search future preview and contact/call-to-action.</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All agreed homepage sections are present, readable and populated with approved sample or final content.</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FR-PUB-03</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Profile page</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About/Profile page shall present Mr. Ramdane's background, journalism/PhD/analyst identity, and platform vision and mission.</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Approved profile content is shown in a structured page format.</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FR-PUB-04</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News/Analysis listing</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The platform shall provide a listing of articles or analyses with basic categories and content cards.</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Visitors can see available entries and open a selected article.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FR-PUB-05</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Article detail</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Each published article shall have a detail page showing title, author, publication date, content and source/reference link when available.</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Published article data is displayed correctly and source link appears only when supplied.</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FR-PUB-06</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Research/Publications</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The platform shall provide a page listing research/publication items using basic publication cards with an external link or file reference where provided.</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Approved publication items can be viewed and relevant provided links/files can be accessed.</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FR-PUB-07</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Strategic topic prominence</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public experience shall visibly communicate the Algeria-Europe energy focus and feature the Nigeria-Algeria-Europe pipeline topic.</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Topic appears clearly on homepage and/or within agreed featured content structure.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FR-PUB-08</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Should</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Contact / CTA</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The homepage shall provide a simple method for visitors to contact or engage with the platform, based on contact details supplied by the client.</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CTA displays approved contact route or call-to-action text.</w:t>
            </w:r>
          </w:p>
        </w:tc>
      </w:tr>
    </w:tbl>
    <w:p>
      <w:pPr>
        <w:spacing w:after="20"/>
      </w:pPr>
    </w:p>
    <w:p>
      <w:pPr>
        <w:pStyle w:val="2"/>
        <w:keepNext/>
        <w:spacing w:before="240" w:after="120"/>
      </w:pPr>
      <w:r>
        <w:rPr>
          <w:rFonts w:ascii="Aptos Display" w:hAnsi="Aptos Display"/>
          <w:b/>
          <w:color w:val="173B62"/>
          <w:sz w:val="32"/>
        </w:rPr>
        <w:t>4. Functional Requirements - CMS and Administration</w:t>
      </w:r>
    </w:p>
    <w:p>
      <w:pPr>
        <w:spacing w:after="120" w:line="259" w:lineRule="auto"/>
      </w:pPr>
      <w:r>
        <w:rPr>
          <w:rFonts w:ascii="Aptos" w:hAnsi="Aptos"/>
          <w:b w:val="0"/>
          <w:i w:val="0"/>
          <w:color w:val="1D2A36"/>
          <w:sz w:val="20"/>
        </w:rPr>
        <w:t>The CMS is a lightweight custom administration area for essential content management only. It is not an advanced newsroom or multi-stage publishing workflow.</w:t>
      </w:r>
    </w:p>
    <w:tbl>
      <w:tblPr>
        <w:tblStyle w:val="12"/>
        <w:tblW w:w="0" w:type="auto"/>
        <w:jc w:val="center"/>
        <w:tblLayout w:type="fixed"/>
        <w:tblCellMar>
          <w:top w:w="0" w:type="dxa"/>
          <w:left w:w="108" w:type="dxa"/>
          <w:bottom w:w="0" w:type="dxa"/>
          <w:right w:w="108" w:type="dxa"/>
        </w:tblCellMar>
      </w:tblPr>
      <w:tblGrid>
        <w:gridCol w:w="2016"/>
        <w:gridCol w:w="2016"/>
        <w:gridCol w:w="2016"/>
        <w:gridCol w:w="2016"/>
        <w:gridCol w:w="2016"/>
      </w:tblGrid>
      <w:tr>
        <w:tblPrEx>
          <w:tblCellMar>
            <w:top w:w="0" w:type="dxa"/>
            <w:left w:w="108" w:type="dxa"/>
            <w:bottom w:w="0" w:type="dxa"/>
            <w:right w:w="108" w:type="dxa"/>
          </w:tblCellMar>
        </w:tblPrEx>
        <w:trPr>
          <w:cantSplit/>
          <w:tblHeader/>
          <w:jc w:val="center"/>
        </w:trPr>
        <w:tc>
          <w:tcPr>
            <w:tcW w:w="1037"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ID</w:t>
            </w:r>
          </w:p>
        </w:tc>
        <w:tc>
          <w:tcPr>
            <w:tcW w:w="93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Priority</w:t>
            </w:r>
          </w:p>
        </w:tc>
        <w:tc>
          <w:tcPr>
            <w:tcW w:w="165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Feature</w:t>
            </w:r>
          </w:p>
        </w:tc>
        <w:tc>
          <w:tcPr>
            <w:tcW w:w="367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Requirement</w:t>
            </w:r>
          </w:p>
        </w:tc>
        <w:tc>
          <w:tcPr>
            <w:tcW w:w="2779"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Acceptance Criteria</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FR-ADM-01</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Admin authentication</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system shall provide secure administrator login using Supabase Auth.</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Unauthorized visitors cannot access administration screens; approved admin can sign in.</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FR-ADM-02</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Article creation</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Administrator shall be able to create an article with core fields such as title, category, author, date, content and optional source/reference link.</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 saved article can be displayed on public article pages when published.</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FR-ADM-03</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Article editing</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Administrator shall be able to edit existing article content and metadata.</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Updated content is reflected in the corresponding public entry after save/publish.</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FR-ADM-04</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Article deletion</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Administrator shall be able to remove an article entry.</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Deleted article is no longer presented in the public listing.</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FR-ADM-05</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Publication management</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Administrator shall be able to create, edit and remove research/publication items with basic metadata and optional link/file reference.</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Publication page reflects saved publication management actions.</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FR-ADM-06</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Should</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Basic platform content</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Administrator shall manage essential agreed content blocks where practical for Phase 1, such as selected homepage featured content.</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Specified manageable blocks can be updated without code modification.</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FR-ADM-07</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Access control</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Only authenticated administrative users shall be permitted to perform create, update or delete operations.</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Direct unauthenticated content-management attempt is denied.</w:t>
            </w:r>
          </w:p>
        </w:tc>
      </w:tr>
    </w:tbl>
    <w:p>
      <w:pPr>
        <w:spacing w:after="20"/>
      </w:pPr>
    </w:p>
    <w:p>
      <w:pPr>
        <w:pStyle w:val="3"/>
        <w:keepNext/>
        <w:spacing w:before="160" w:after="120"/>
      </w:pPr>
      <w:r>
        <w:rPr>
          <w:rFonts w:ascii="Aptos Display" w:hAnsi="Aptos Display"/>
          <w:b/>
          <w:color w:val="067F7A"/>
          <w:sz w:val="24"/>
        </w:rPr>
        <w:t>4.1 Editorial Limitations in Phase 1</w:t>
      </w:r>
    </w:p>
    <w:p>
      <w:pPr>
        <w:pStyle w:val="23"/>
        <w:spacing w:after="60"/>
        <w:ind w:left="360"/>
      </w:pPr>
      <w:r>
        <w:rPr>
          <w:rFonts w:ascii="Aptos" w:hAnsi="Aptos"/>
          <w:color w:val="1D2A36"/>
          <w:sz w:val="20"/>
        </w:rPr>
        <w:t>No multi-user editorial roles, approval chains or revision history are required.</w:t>
      </w:r>
    </w:p>
    <w:p>
      <w:pPr>
        <w:pStyle w:val="23"/>
        <w:spacing w:after="60"/>
        <w:ind w:left="360"/>
      </w:pPr>
      <w:r>
        <w:rPr>
          <w:rFonts w:ascii="Aptos" w:hAnsi="Aptos"/>
          <w:color w:val="1D2A36"/>
          <w:sz w:val="20"/>
        </w:rPr>
        <w:t>No automated article ingestion, news crawling or source monitoring is required.</w:t>
      </w:r>
    </w:p>
    <w:p>
      <w:pPr>
        <w:pStyle w:val="23"/>
        <w:spacing w:after="60"/>
        <w:ind w:left="360"/>
      </w:pPr>
      <w:r>
        <w:rPr>
          <w:rFonts w:ascii="Aptos" w:hAnsi="Aptos"/>
          <w:color w:val="1D2A36"/>
          <w:sz w:val="20"/>
        </w:rPr>
        <w:t>Content verification, translation and final editorial approval remain client responsibilities unless agreed separately.</w:t>
      </w:r>
    </w:p>
    <w:p>
      <w:pPr>
        <w:pStyle w:val="2"/>
        <w:keepNext/>
        <w:spacing w:before="240" w:after="120"/>
      </w:pPr>
      <w:r>
        <w:rPr>
          <w:rFonts w:ascii="Aptos Display" w:hAnsi="Aptos Display"/>
          <w:b/>
          <w:color w:val="173B62"/>
          <w:sz w:val="32"/>
        </w:rPr>
        <w:t>5. Functional Requirements - Basic AI Prototype</w:t>
      </w:r>
    </w:p>
    <w:tbl>
      <w:tblPr>
        <w:tblStyle w:val="12"/>
        <w:tblW w:w="0" w:type="auto"/>
        <w:jc w:val="center"/>
        <w:tblLayout w:type="fixed"/>
        <w:tblCellMar>
          <w:top w:w="0" w:type="dxa"/>
          <w:left w:w="108" w:type="dxa"/>
          <w:bottom w:w="0" w:type="dxa"/>
          <w:right w:w="108" w:type="dxa"/>
        </w:tblCellMar>
      </w:tblPr>
      <w:tblGrid>
        <w:gridCol w:w="10080"/>
      </w:tblGrid>
      <w:tr>
        <w:tblPrEx>
          <w:tblCellMar>
            <w:top w:w="0" w:type="dxa"/>
            <w:left w:w="108" w:type="dxa"/>
            <w:bottom w:w="0" w:type="dxa"/>
            <w:right w:w="108" w:type="dxa"/>
          </w:tblCellMar>
        </w:tblPrEx>
        <w:trPr>
          <w:jc w:val="center"/>
        </w:trPr>
        <w:tc>
          <w:tcPr>
            <w:tcW w:w="10080" w:type="dxa"/>
            <w:tcBorders>
              <w:top w:val="single" w:color="F6EBD4" w:sz="0" w:space="0"/>
              <w:left w:val="single" w:color="F6EBD4" w:sz="0" w:space="0"/>
              <w:bottom w:val="single" w:color="F6EBD4" w:sz="0" w:space="0"/>
              <w:right w:val="single" w:color="F6EBD4" w:sz="0" w:space="0"/>
              <w:insideH w:val="single" w:sz="0" w:space="0"/>
              <w:insideV w:val="single" w:sz="0" w:space="0"/>
            </w:tcBorders>
            <w:shd w:val="clear" w:color="auto" w:fill="F6EBD4"/>
            <w:tcMar>
              <w:top w:w="150" w:type="dxa"/>
              <w:left w:w="170" w:type="dxa"/>
              <w:bottom w:w="150" w:type="dxa"/>
              <w:right w:w="170" w:type="dxa"/>
            </w:tcMar>
          </w:tcPr>
          <w:p>
            <w:pPr>
              <w:spacing w:after="80"/>
            </w:pPr>
            <w:r>
              <w:rPr>
                <w:rFonts w:ascii="Aptos" w:hAnsi="Aptos"/>
                <w:b/>
                <w:color w:val="173B62"/>
                <w:sz w:val="21"/>
              </w:rPr>
              <w:t>AI Limitation</w:t>
            </w:r>
          </w:p>
          <w:p>
            <w:pPr>
              <w:spacing w:after="0"/>
            </w:pPr>
            <w:r>
              <w:rPr>
                <w:rFonts w:ascii="Aptos" w:hAnsi="Aptos"/>
                <w:color w:val="1D2A36"/>
                <w:sz w:val="20"/>
              </w:rPr>
              <w:t>Phase 1 AI must operate only as a basic prototype using manually provided or selected content. It is not a trusted-source RAG knowledge base and must not be positioned as one.</w:t>
            </w:r>
          </w:p>
        </w:tc>
      </w:tr>
    </w:tbl>
    <w:p>
      <w:pPr>
        <w:spacing w:after="0"/>
      </w:pPr>
    </w:p>
    <w:tbl>
      <w:tblPr>
        <w:tblStyle w:val="12"/>
        <w:tblW w:w="0" w:type="auto"/>
        <w:jc w:val="center"/>
        <w:tblLayout w:type="fixed"/>
        <w:tblCellMar>
          <w:top w:w="0" w:type="dxa"/>
          <w:left w:w="108" w:type="dxa"/>
          <w:bottom w:w="0" w:type="dxa"/>
          <w:right w:w="108" w:type="dxa"/>
        </w:tblCellMar>
      </w:tblPr>
      <w:tblGrid>
        <w:gridCol w:w="2016"/>
        <w:gridCol w:w="2016"/>
        <w:gridCol w:w="2016"/>
        <w:gridCol w:w="2016"/>
        <w:gridCol w:w="2016"/>
      </w:tblGrid>
      <w:tr>
        <w:tblPrEx>
          <w:tblCellMar>
            <w:top w:w="0" w:type="dxa"/>
            <w:left w:w="108" w:type="dxa"/>
            <w:bottom w:w="0" w:type="dxa"/>
            <w:right w:w="108" w:type="dxa"/>
          </w:tblCellMar>
        </w:tblPrEx>
        <w:trPr>
          <w:cantSplit/>
          <w:tblHeader/>
          <w:jc w:val="center"/>
        </w:trPr>
        <w:tc>
          <w:tcPr>
            <w:tcW w:w="1037"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ID</w:t>
            </w:r>
          </w:p>
        </w:tc>
        <w:tc>
          <w:tcPr>
            <w:tcW w:w="93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Priority</w:t>
            </w:r>
          </w:p>
        </w:tc>
        <w:tc>
          <w:tcPr>
            <w:tcW w:w="165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Feature</w:t>
            </w:r>
          </w:p>
        </w:tc>
        <w:tc>
          <w:tcPr>
            <w:tcW w:w="367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Requirement</w:t>
            </w:r>
          </w:p>
        </w:tc>
        <w:tc>
          <w:tcPr>
            <w:tcW w:w="2779"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90" w:type="dxa"/>
              <w:left w:w="110" w:type="dxa"/>
              <w:bottom w:w="90" w:type="dxa"/>
              <w:right w:w="110" w:type="dxa"/>
            </w:tcMar>
            <w:vAlign w:val="center"/>
          </w:tcPr>
          <w:p>
            <w:pPr>
              <w:spacing w:after="0"/>
            </w:pPr>
            <w:r>
              <w:rPr>
                <w:rFonts w:ascii="Aptos" w:hAnsi="Aptos"/>
                <w:b/>
                <w:color w:val="FFFFFF"/>
                <w:sz w:val="18"/>
              </w:rPr>
              <w:t>Acceptance Criteria</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FR-AI-01</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Basic summarization</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system shall allow supported text/article content to be submitted for AI-generated summarization.</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 user/admin can submit supported content and receive a summary response when the AI provider is available.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FR-AI-02</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Simple assistant prototype</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The platform shall provide a limited assistant prototype using basic prompt direction related to energy and sustainability analysis.</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Prototype returns a simple response for agreed demonstration inputs without claiming full knowledge-base coverage.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FR-AI-03</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Secure API handling</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AI requests shall be processed through a secure backend/serverless layer so API credentials are not exposed in the frontend.</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Provider API key is stored as a server-side environment secret and is not present in browser-delivered code.</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color w:val="1D2A36"/>
                <w:sz w:val="17"/>
              </w:rPr>
              <w:t>FR-AI-04</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Manual/selected content input</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AI output in Phase 1 shall depend on manually provided or selected content rather than indexed document collections.</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75" w:type="dxa"/>
              <w:left w:w="110" w:type="dxa"/>
              <w:bottom w:w="75" w:type="dxa"/>
              <w:right w:w="110" w:type="dxa"/>
            </w:tcMar>
            <w:vAlign w:val="center"/>
          </w:tcPr>
          <w:p>
            <w:pPr>
              <w:spacing w:after="0" w:line="247" w:lineRule="auto"/>
            </w:pPr>
            <w:r>
              <w:rPr>
                <w:rFonts w:ascii="Aptos" w:hAnsi="Aptos"/>
                <w:b w:val="0"/>
                <w:color w:val="1D2A36"/>
                <w:sz w:val="17"/>
              </w:rPr>
              <w:t>No vector search, document indexing or automated external data retrieval is required.</w:t>
            </w:r>
          </w:p>
        </w:tc>
      </w:tr>
      <w:tr>
        <w:tblPrEx>
          <w:tblCellMar>
            <w:top w:w="0" w:type="dxa"/>
            <w:left w:w="108" w:type="dxa"/>
            <w:bottom w:w="0" w:type="dxa"/>
            <w:right w:w="108" w:type="dxa"/>
          </w:tblCellMar>
        </w:tblPrEx>
        <w:trPr>
          <w:cantSplit/>
          <w:jc w:val="center"/>
        </w:trPr>
        <w:tc>
          <w:tcPr>
            <w:tcW w:w="1037"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color w:val="1D2A36"/>
                <w:sz w:val="17"/>
              </w:rPr>
              <w:t>FR-AI-05</w:t>
            </w:r>
          </w:p>
        </w:tc>
        <w:tc>
          <w:tcPr>
            <w:tcW w:w="9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Must</w:t>
            </w:r>
          </w:p>
        </w:tc>
        <w:tc>
          <w:tcPr>
            <w:tcW w:w="165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Future AI/Search preview</w:t>
            </w:r>
          </w:p>
        </w:tc>
        <w:tc>
          <w:tcPr>
            <w:tcW w:w="367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The site shall display a preview section for the future 'Ask about Algeria-Europe Energy' capability.</w:t>
            </w:r>
          </w:p>
        </w:tc>
        <w:tc>
          <w:tcPr>
            <w:tcW w:w="2779"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75" w:type="dxa"/>
              <w:left w:w="110" w:type="dxa"/>
              <w:bottom w:w="75" w:type="dxa"/>
              <w:right w:w="110" w:type="dxa"/>
            </w:tcMar>
            <w:vAlign w:val="center"/>
          </w:tcPr>
          <w:p>
            <w:pPr>
              <w:spacing w:after="0" w:line="247" w:lineRule="auto"/>
            </w:pPr>
            <w:r>
              <w:rPr>
                <w:rFonts w:ascii="Aptos" w:hAnsi="Aptos"/>
                <w:b w:val="0"/>
                <w:color w:val="1D2A36"/>
                <w:sz w:val="17"/>
              </w:rPr>
              <w:t>Preview clearly indicates the fuller source-based AI feature is planned for a later phase.</w:t>
            </w:r>
          </w:p>
        </w:tc>
      </w:tr>
    </w:tbl>
    <w:p>
      <w:pPr>
        <w:spacing w:after="20"/>
      </w:pPr>
    </w:p>
    <w:p>
      <w:pPr>
        <w:pStyle w:val="3"/>
        <w:keepNext/>
        <w:spacing w:before="160" w:after="120"/>
      </w:pPr>
      <w:r>
        <w:rPr>
          <w:rFonts w:ascii="Aptos Display" w:hAnsi="Aptos Display"/>
          <w:b/>
          <w:color w:val="067F7A"/>
          <w:sz w:val="24"/>
        </w:rPr>
        <w:t>5.1 Future AI Capability - Not a Phase 1 Requirement</w:t>
      </w:r>
    </w:p>
    <w:p>
      <w:pPr>
        <w:spacing w:after="120" w:line="259" w:lineRule="auto"/>
      </w:pPr>
      <w:r>
        <w:rPr>
          <w:rFonts w:ascii="Aptos" w:hAnsi="Aptos"/>
          <w:b w:val="0"/>
          <w:i w:val="0"/>
          <w:color w:val="1D2A36"/>
          <w:sz w:val="20"/>
        </w:rPr>
        <w:t>A later phase may implement trusted-source ingestion, text extraction, chunking, embeddings, vector search and source-based answers. These steps are illustrated conceptually in the source material's future AI/RAG flow, but are excluded from the present build.</w:t>
      </w:r>
    </w:p>
    <w:p>
      <w:pPr>
        <w:pStyle w:val="2"/>
        <w:keepNext/>
        <w:spacing w:before="240" w:after="120"/>
      </w:pPr>
      <w:r>
        <w:rPr>
          <w:rFonts w:ascii="Aptos Display" w:hAnsi="Aptos Display"/>
          <w:b/>
          <w:color w:val="173B62"/>
          <w:sz w:val="32"/>
        </w:rPr>
        <w:t>6. Content and Information Requirements</w:t>
      </w:r>
    </w:p>
    <w:tbl>
      <w:tblPr>
        <w:tblStyle w:val="12"/>
        <w:tblW w:w="0" w:type="auto"/>
        <w:jc w:val="center"/>
        <w:tblLayout w:type="fixed"/>
        <w:tblCellMar>
          <w:top w:w="0" w:type="dxa"/>
          <w:left w:w="108" w:type="dxa"/>
          <w:bottom w:w="0" w:type="dxa"/>
          <w:right w:w="108" w:type="dxa"/>
        </w:tblCellMar>
      </w:tblPr>
      <w:tblGrid>
        <w:gridCol w:w="3360"/>
        <w:gridCol w:w="3360"/>
        <w:gridCol w:w="3360"/>
      </w:tblGrid>
      <w:tr>
        <w:tblPrEx>
          <w:tblCellMar>
            <w:top w:w="0" w:type="dxa"/>
            <w:left w:w="108" w:type="dxa"/>
            <w:bottom w:w="0" w:type="dxa"/>
            <w:right w:w="108" w:type="dxa"/>
          </w:tblCellMar>
        </w:tblPrEx>
        <w:trPr>
          <w:cantSplit/>
          <w:tblHeader/>
          <w:jc w:val="center"/>
        </w:trPr>
        <w:tc>
          <w:tcPr>
            <w:tcW w:w="115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ID</w:t>
            </w:r>
          </w:p>
        </w:tc>
        <w:tc>
          <w:tcPr>
            <w:tcW w:w="237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Content Area</w:t>
            </w:r>
          </w:p>
        </w:tc>
        <w:tc>
          <w:tcPr>
            <w:tcW w:w="655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Required Input / Information</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CR-01</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Platform identity</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Platform name, mission statement, positioning text and approved contact/call-to-action details.</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CR-02</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Profile</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Approved biography, credentials, role description, portrait/image where supplied, and vision/mission text for Mr. Ramdane.</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CR-03</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Articles/analysis</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Initial articles or approved sample content, including title, author, date, category, body and source link when available.</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CR-04</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Publications/research</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Initial research/publication list with title, description, date/author information when applicable, and link or file reference.</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CR-05</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Strategic focus</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Approved language and materials regarding Algeria-Europe energy relations and Nigeria-Algeria-Europe pipeline coverage.</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CR-06</w:t>
            </w:r>
          </w:p>
        </w:tc>
        <w:tc>
          <w:tcPr>
            <w:tcW w:w="237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Visual assets</w:t>
            </w:r>
          </w:p>
        </w:tc>
        <w:tc>
          <w:tcPr>
            <w:tcW w:w="65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Approved images, brand references or usage rights for all assets supplied by the client.</w:t>
            </w:r>
          </w:p>
        </w:tc>
      </w:tr>
    </w:tbl>
    <w:p>
      <w:pPr>
        <w:spacing w:after="20"/>
      </w:pPr>
    </w:p>
    <w:p>
      <w:pPr>
        <w:pStyle w:val="3"/>
        <w:keepNext/>
        <w:spacing w:before="160" w:after="120"/>
      </w:pPr>
      <w:r>
        <w:rPr>
          <w:rFonts w:ascii="Aptos Display" w:hAnsi="Aptos Display"/>
          <w:b/>
          <w:color w:val="067F7A"/>
          <w:sz w:val="24"/>
        </w:rPr>
        <w:t>6.1 Content Responsibility</w:t>
      </w:r>
    </w:p>
    <w:p>
      <w:pPr>
        <w:pStyle w:val="23"/>
        <w:spacing w:after="60"/>
        <w:ind w:left="360"/>
      </w:pPr>
      <w:r>
        <w:rPr>
          <w:rFonts w:ascii="Aptos" w:hAnsi="Aptos"/>
          <w:color w:val="1D2A36"/>
          <w:sz w:val="20"/>
        </w:rPr>
        <w:t>The client shall provide or approve content and visual assets used in the platform.</w:t>
      </w:r>
    </w:p>
    <w:p>
      <w:pPr>
        <w:pStyle w:val="23"/>
        <w:spacing w:after="60"/>
        <w:ind w:left="360"/>
      </w:pPr>
      <w:r>
        <w:rPr>
          <w:rFonts w:ascii="Aptos" w:hAnsi="Aptos"/>
          <w:color w:val="1D2A36"/>
          <w:sz w:val="20"/>
        </w:rPr>
        <w:t>External references, publication files and third-party logos may be shown only when supplied/approved and usage is appropriate.</w:t>
      </w:r>
    </w:p>
    <w:p>
      <w:pPr>
        <w:pStyle w:val="23"/>
        <w:spacing w:after="60"/>
        <w:ind w:left="360"/>
      </w:pPr>
      <w:r>
        <w:rPr>
          <w:rFonts w:ascii="Aptos" w:hAnsi="Aptos"/>
          <w:color w:val="1D2A36"/>
          <w:sz w:val="20"/>
        </w:rPr>
        <w:t>Content additions that materially change the site structure, editorial workload or topic focus shall be handled through scope review.</w:t>
      </w:r>
    </w:p>
    <w:p>
      <w:pPr>
        <w:pStyle w:val="3"/>
        <w:keepNext/>
        <w:spacing w:before="160" w:after="120"/>
      </w:pPr>
      <w:r>
        <w:rPr>
          <w:rFonts w:ascii="Aptos Display" w:hAnsi="Aptos Display"/>
          <w:b/>
          <w:color w:val="067F7A"/>
          <w:sz w:val="24"/>
        </w:rPr>
        <w:t>6.2 Explicit Scope Guardrails for Additional Content Requests</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2880"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Request Type</w:t>
            </w:r>
          </w:p>
        </w:tc>
        <w:tc>
          <w:tcPr>
            <w:tcW w:w="7200"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Phase 1 Requirement Position</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Company / institution logo showcase</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Not automatically included. May be added only after confirming purpose, placement, approved logo assets and impact on scope.</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Tourism section</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Not part of the energy-focused MVP baseline. Consider as a later supporting feature only if it strengthens the agreed platform positioning.</w:t>
            </w:r>
          </w:p>
        </w:tc>
      </w:tr>
      <w:tr>
        <w:tblPrEx>
          <w:tblCellMar>
            <w:top w:w="0" w:type="dxa"/>
            <w:left w:w="108" w:type="dxa"/>
            <w:bottom w:w="0" w:type="dxa"/>
            <w:right w:w="108" w:type="dxa"/>
          </w:tblCellMar>
        </w:tblPrEx>
        <w:trPr>
          <w:cantSplit/>
          <w:jc w:val="center"/>
        </w:trPr>
        <w:tc>
          <w:tcPr>
            <w:tcW w:w="288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Additional article summary/curation workflow</w:t>
            </w:r>
          </w:p>
        </w:tc>
        <w:tc>
          <w:tcPr>
            <w:tcW w:w="7200"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Not included as an ongoing content service. Only agreed initial/sample content and basic AI prototype behavior are included.</w:t>
            </w:r>
          </w:p>
        </w:tc>
      </w:tr>
    </w:tbl>
    <w:p>
      <w:pPr>
        <w:spacing w:after="20"/>
      </w:pPr>
    </w:p>
    <w:p>
      <w:pPr>
        <w:pStyle w:val="2"/>
        <w:keepNext/>
        <w:spacing w:before="240" w:after="120"/>
      </w:pPr>
      <w:r>
        <w:rPr>
          <w:rFonts w:ascii="Aptos Display" w:hAnsi="Aptos Display"/>
          <w:b/>
          <w:color w:val="173B62"/>
          <w:sz w:val="32"/>
        </w:rPr>
        <w:t>7. Non-Functional Requirements</w:t>
      </w:r>
    </w:p>
    <w:tbl>
      <w:tblPr>
        <w:tblStyle w:val="12"/>
        <w:tblW w:w="0" w:type="auto"/>
        <w:jc w:val="center"/>
        <w:tblLayout w:type="fixed"/>
        <w:tblCellMar>
          <w:top w:w="0" w:type="dxa"/>
          <w:left w:w="108" w:type="dxa"/>
          <w:bottom w:w="0" w:type="dxa"/>
          <w:right w:w="108" w:type="dxa"/>
        </w:tblCellMar>
      </w:tblPr>
      <w:tblGrid>
        <w:gridCol w:w="3360"/>
        <w:gridCol w:w="3360"/>
        <w:gridCol w:w="3360"/>
      </w:tblGrid>
      <w:tr>
        <w:tblPrEx>
          <w:tblCellMar>
            <w:top w:w="0" w:type="dxa"/>
            <w:left w:w="108" w:type="dxa"/>
            <w:bottom w:w="0" w:type="dxa"/>
            <w:right w:w="108" w:type="dxa"/>
          </w:tblCellMar>
        </w:tblPrEx>
        <w:trPr>
          <w:cantSplit/>
          <w:tblHeader/>
          <w:jc w:val="center"/>
        </w:trPr>
        <w:tc>
          <w:tcPr>
            <w:tcW w:w="115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ID</w:t>
            </w:r>
          </w:p>
        </w:tc>
        <w:tc>
          <w:tcPr>
            <w:tcW w:w="223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Quality Area</w:t>
            </w:r>
          </w:p>
        </w:tc>
        <w:tc>
          <w:tcPr>
            <w:tcW w:w="669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Requirement</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NFR-01</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Visual credibility</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The user interface shall feel professional, institutional, clean, research-oriented and content-driven, inspired by the agreed Ifri-style direction.</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NFR-02</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Responsive design</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Public website and essential admin screens shall function on common desktop and mobile viewport sizes.</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NFR-03</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Security</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Administrative actions require authentication; secrets such as AI provider keys shall be stored server-side through environment variables or secured backend configuration.</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NFR-04</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Performance baseline</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Pages shall follow reasonable web performance practice for an MVP, including optimized page structure and appropriate handling of supplied media.</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NFR-05</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Content maintainability</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Core article and publication content shall be maintainable through the lightweight CMS without requiring code changes.</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NFR-06</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Deployment readiness</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The application shall be deployable to Vercel and Supabase Cloud using documented environment configuration.</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NFR-07</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Scalability foundation</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Code and data design shall allow future expansion without requiring implementation of future features during Phase 1.</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NFR-08</w:t>
            </w:r>
          </w:p>
        </w:tc>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Basic handover</w:t>
            </w:r>
          </w:p>
        </w:tc>
        <w:tc>
          <w:tcPr>
            <w:tcW w:w="669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The client shall receive source code, deployment/environment setup notes and basic admin usage guidance.</w:t>
            </w:r>
          </w:p>
        </w:tc>
      </w:tr>
    </w:tbl>
    <w:p>
      <w:pPr>
        <w:spacing w:after="20"/>
      </w:pPr>
    </w:p>
    <w:p>
      <w:pPr>
        <w:pStyle w:val="2"/>
        <w:keepNext/>
        <w:spacing w:before="240" w:after="120"/>
      </w:pPr>
      <w:r>
        <w:rPr>
          <w:rFonts w:ascii="Aptos Display" w:hAnsi="Aptos Display"/>
          <w:b/>
          <w:color w:val="173B62"/>
          <w:sz w:val="32"/>
        </w:rPr>
        <w:t>8. Data, Integrations and Technical Constraints</w:t>
      </w:r>
    </w:p>
    <w:p>
      <w:pPr>
        <w:pStyle w:val="3"/>
        <w:keepNext/>
        <w:spacing w:before="160" w:after="120"/>
      </w:pPr>
      <w:r>
        <w:rPr>
          <w:rFonts w:ascii="Aptos Display" w:hAnsi="Aptos Display"/>
          <w:b/>
          <w:color w:val="067F7A"/>
          <w:sz w:val="24"/>
        </w:rPr>
        <w:t>8.1 Required Data Entities</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244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Entity</w:t>
            </w:r>
          </w:p>
        </w:tc>
        <w:tc>
          <w:tcPr>
            <w:tcW w:w="763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Minimum Purpose / Information</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Admin User</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Authenticated administrator access managed through Supabase Auth.</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Article / Analysis</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Title, author, date, category, content, optional source/reference link, publishing status where implemented.</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Publication / Research Item</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Title, description/metadata, optional external link or stored file reference.</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Basic Site Content</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Selected approved presentation text or featured elements manageable within the agreed CMS scope.</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AI Request / Response</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Temporary request content and generated response required to support the basic prototype; persistence only if agreed during build.</w:t>
            </w:r>
          </w:p>
        </w:tc>
      </w:tr>
    </w:tbl>
    <w:p>
      <w:pPr>
        <w:spacing w:after="20"/>
      </w:pPr>
    </w:p>
    <w:p>
      <w:pPr>
        <w:pStyle w:val="3"/>
        <w:keepNext/>
        <w:spacing w:before="160" w:after="120"/>
      </w:pPr>
      <w:r>
        <w:rPr>
          <w:rFonts w:ascii="Aptos Display" w:hAnsi="Aptos Display"/>
          <w:b/>
          <w:color w:val="067F7A"/>
          <w:sz w:val="24"/>
        </w:rPr>
        <w:t>8.2 Technical Stack Requirements</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244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Layer</w:t>
            </w:r>
          </w:p>
        </w:tc>
        <w:tc>
          <w:tcPr>
            <w:tcW w:w="763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Phase 1 Requirement / Planned Technology</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Frontend</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Next.js, React and Tailwind CSS.</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Backend</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Next.js API Routes / Server Actions and/or Supabase Edge Functions where needed.</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Database</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Supabase PostgreSQL.</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Authentication</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Supabase Auth for administrator login.</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File Storage</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Supabase Storage where publication/file assets are included.</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AI Provider</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OpenAI API or OpenRouter API connected through secure server-side processing.</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Deployment</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Vercel for frontend and Supabase Cloud for database, auth, storage and backend services.</w:t>
            </w:r>
          </w:p>
        </w:tc>
      </w:tr>
      <w:tr>
        <w:tblPrEx>
          <w:tblCellMar>
            <w:top w:w="0" w:type="dxa"/>
            <w:left w:w="108" w:type="dxa"/>
            <w:bottom w:w="0" w:type="dxa"/>
            <w:right w:w="108" w:type="dxa"/>
          </w:tblCellMar>
        </w:tblPrEx>
        <w:trPr>
          <w:cantSplit/>
          <w:jc w:val="center"/>
        </w:trPr>
        <w:tc>
          <w:tcPr>
            <w:tcW w:w="244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Local Development</w:t>
            </w:r>
          </w:p>
        </w:tc>
        <w:tc>
          <w:tcPr>
            <w:tcW w:w="76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Local-first workflow using Next.js and local Supabase via Docker where applicable.</w:t>
            </w:r>
          </w:p>
        </w:tc>
      </w:tr>
    </w:tbl>
    <w:p>
      <w:pPr>
        <w:spacing w:after="20"/>
      </w:pPr>
    </w:p>
    <w:p>
      <w:pPr>
        <w:pStyle w:val="2"/>
        <w:keepNext/>
        <w:spacing w:before="240" w:after="120"/>
      </w:pPr>
      <w:r>
        <w:rPr>
          <w:rFonts w:ascii="Aptos Display" w:hAnsi="Aptos Display"/>
          <w:b/>
          <w:color w:val="173B62"/>
          <w:sz w:val="32"/>
        </w:rPr>
        <w:t>9. Assumptions, Dependencies and Client Inputs</w:t>
      </w:r>
    </w:p>
    <w:tbl>
      <w:tblPr>
        <w:tblStyle w:val="12"/>
        <w:tblW w:w="0" w:type="auto"/>
        <w:jc w:val="center"/>
        <w:tblLayout w:type="fixed"/>
        <w:tblCellMar>
          <w:top w:w="0" w:type="dxa"/>
          <w:left w:w="108" w:type="dxa"/>
          <w:bottom w:w="0" w:type="dxa"/>
          <w:right w:w="108" w:type="dxa"/>
        </w:tblCellMar>
      </w:tblPr>
      <w:tblGrid>
        <w:gridCol w:w="5040"/>
        <w:gridCol w:w="5040"/>
      </w:tblGrid>
      <w:tr>
        <w:tblPrEx>
          <w:tblCellMar>
            <w:top w:w="0" w:type="dxa"/>
            <w:left w:w="108" w:type="dxa"/>
            <w:bottom w:w="0" w:type="dxa"/>
            <w:right w:w="108" w:type="dxa"/>
          </w:tblCellMar>
        </w:tblPrEx>
        <w:trPr>
          <w:cantSplit/>
          <w:tblHeader/>
          <w:jc w:val="center"/>
        </w:trPr>
        <w:tc>
          <w:tcPr>
            <w:tcW w:w="115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ID</w:t>
            </w:r>
          </w:p>
        </w:tc>
        <w:tc>
          <w:tcPr>
            <w:tcW w:w="8928"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Assumption / Dependency</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A-01</w:t>
            </w:r>
          </w:p>
        </w:tc>
        <w:tc>
          <w:tcPr>
            <w:tcW w:w="892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The 4-week schedule begins after scope approval, kickoff payment and access/material availability.</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A-02</w:t>
            </w:r>
          </w:p>
        </w:tc>
        <w:tc>
          <w:tcPr>
            <w:tcW w:w="892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Client feedback and content approvals are supplied in time to support milestone completion.</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A-03</w:t>
            </w:r>
          </w:p>
        </w:tc>
        <w:tc>
          <w:tcPr>
            <w:tcW w:w="892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Domain, paid hosting plans, AI API usage charges, premium third-party tools, paid data providers, premium design assets and paid translation services are excluded from the USD 1,000 budget.</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A-04</w:t>
            </w:r>
          </w:p>
        </w:tc>
        <w:tc>
          <w:tcPr>
            <w:tcW w:w="892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Deployment accounts, required credentials or invitations shall be provided or approved by the client when needed.</w:t>
            </w:r>
          </w:p>
        </w:tc>
      </w:tr>
      <w:tr>
        <w:tblPrEx>
          <w:tblCellMar>
            <w:top w:w="0" w:type="dxa"/>
            <w:left w:w="108" w:type="dxa"/>
            <w:bottom w:w="0" w:type="dxa"/>
            <w:right w:w="108" w:type="dxa"/>
          </w:tblCellMar>
        </w:tblPrEx>
        <w:trPr>
          <w:cantSplit/>
          <w:jc w:val="center"/>
        </w:trPr>
        <w:tc>
          <w:tcPr>
            <w:tcW w:w="115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A-05</w:t>
            </w:r>
          </w:p>
        </w:tc>
        <w:tc>
          <w:tcPr>
            <w:tcW w:w="8928"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AI outputs are prototype outputs and require appropriate human/editorial judgement before being treated as published analysis.</w:t>
            </w:r>
          </w:p>
        </w:tc>
      </w:tr>
    </w:tbl>
    <w:p>
      <w:pPr>
        <w:spacing w:after="20"/>
      </w:pPr>
    </w:p>
    <w:p>
      <w:pPr>
        <w:pStyle w:val="2"/>
        <w:keepNext/>
        <w:spacing w:before="240" w:after="120"/>
      </w:pPr>
      <w:r>
        <w:rPr>
          <w:rFonts w:ascii="Aptos Display" w:hAnsi="Aptos Display"/>
          <w:b/>
          <w:color w:val="173B62"/>
          <w:sz w:val="32"/>
        </w:rPr>
        <w:t>10. Exclusions and Future Phase Requirements</w:t>
      </w:r>
    </w:p>
    <w:p>
      <w:pPr>
        <w:pStyle w:val="23"/>
        <w:spacing w:after="60"/>
        <w:ind w:left="360"/>
      </w:pPr>
      <w:r>
        <w:rPr>
          <w:rFonts w:ascii="Aptos" w:hAnsi="Aptos"/>
          <w:color w:val="1D2A36"/>
          <w:sz w:val="20"/>
        </w:rPr>
        <w:t>Full RAG workflow, vector database or pgvector implementation.</w:t>
      </w:r>
    </w:p>
    <w:p>
      <w:pPr>
        <w:pStyle w:val="23"/>
        <w:spacing w:after="60"/>
        <w:ind w:left="360"/>
      </w:pPr>
      <w:r>
        <w:rPr>
          <w:rFonts w:ascii="Aptos" w:hAnsi="Aptos"/>
          <w:color w:val="1D2A36"/>
          <w:sz w:val="20"/>
        </w:rPr>
        <w:t>Large PDF/document indexing, PDF question-answering or source-grounded AI knowledge base.</w:t>
      </w:r>
    </w:p>
    <w:p>
      <w:pPr>
        <w:pStyle w:val="23"/>
        <w:spacing w:after="60"/>
        <w:ind w:left="360"/>
      </w:pPr>
      <w:r>
        <w:rPr>
          <w:rFonts w:ascii="Aptos" w:hAnsi="Aptos"/>
          <w:color w:val="1D2A36"/>
          <w:sz w:val="20"/>
        </w:rPr>
        <w:t>Automated news crawling, source monitoring or real-time energy data API integrations.</w:t>
      </w:r>
    </w:p>
    <w:p>
      <w:pPr>
        <w:pStyle w:val="23"/>
        <w:spacing w:after="60"/>
        <w:ind w:left="360"/>
      </w:pPr>
      <w:r>
        <w:rPr>
          <w:rFonts w:ascii="Aptos" w:hAnsi="Aptos"/>
          <w:color w:val="1D2A36"/>
          <w:sz w:val="20"/>
        </w:rPr>
        <w:t>Advanced dashboards, interactive energy map, ESG/carbon analytics or predictive AI.</w:t>
      </w:r>
    </w:p>
    <w:p>
      <w:pPr>
        <w:pStyle w:val="23"/>
        <w:spacing w:after="60"/>
        <w:ind w:left="360"/>
      </w:pPr>
      <w:r>
        <w:rPr>
          <w:rFonts w:ascii="Aptos" w:hAnsi="Aptos"/>
          <w:color w:val="1D2A36"/>
          <w:sz w:val="20"/>
        </w:rPr>
        <w:t>Subscription/billing, premium membership, enterprise users or complex user dashboards.</w:t>
      </w:r>
    </w:p>
    <w:p>
      <w:pPr>
        <w:pStyle w:val="23"/>
        <w:spacing w:after="60"/>
        <w:ind w:left="360"/>
      </w:pPr>
      <w:r>
        <w:rPr>
          <w:rFonts w:ascii="Aptos" w:hAnsi="Aptos"/>
          <w:color w:val="1D2A36"/>
          <w:sz w:val="20"/>
        </w:rPr>
        <w:t>Full multilingual workflow, advanced AI translation or mobile application.</w:t>
      </w:r>
    </w:p>
    <w:p>
      <w:pPr>
        <w:pStyle w:val="23"/>
        <w:spacing w:after="60"/>
        <w:ind w:left="360"/>
      </w:pPr>
      <w:r>
        <w:rPr>
          <w:rFonts w:ascii="Aptos" w:hAnsi="Aptos"/>
          <w:color w:val="1D2A36"/>
          <w:sz w:val="20"/>
        </w:rPr>
        <w:t>Tourism-focused content section or company/logo showcase unless separately approved as a scope change.</w:t>
      </w:r>
    </w:p>
    <w:p>
      <w:pPr>
        <w:pStyle w:val="23"/>
        <w:spacing w:after="60"/>
        <w:ind w:left="360"/>
      </w:pPr>
      <w:r>
        <w:rPr>
          <w:rFonts w:ascii="Aptos" w:hAnsi="Aptos"/>
          <w:color w:val="1D2A36"/>
          <w:sz w:val="20"/>
        </w:rPr>
        <w:t>Ongoing editorial curation, bulk article processing or expanded content-production service.</w:t>
      </w:r>
    </w:p>
    <w:tbl>
      <w:tblPr>
        <w:tblStyle w:val="12"/>
        <w:tblW w:w="0" w:type="auto"/>
        <w:jc w:val="center"/>
        <w:tblLayout w:type="fixed"/>
        <w:tblCellMar>
          <w:top w:w="0" w:type="dxa"/>
          <w:left w:w="108" w:type="dxa"/>
          <w:bottom w:w="0" w:type="dxa"/>
          <w:right w:w="108" w:type="dxa"/>
        </w:tblCellMar>
      </w:tblPr>
      <w:tblGrid>
        <w:gridCol w:w="10080"/>
      </w:tblGrid>
      <w:tr>
        <w:tblPrEx>
          <w:tblCellMar>
            <w:top w:w="0" w:type="dxa"/>
            <w:left w:w="108" w:type="dxa"/>
            <w:bottom w:w="0" w:type="dxa"/>
            <w:right w:w="108" w:type="dxa"/>
          </w:tblCellMar>
        </w:tblPrEx>
        <w:trPr>
          <w:jc w:val="center"/>
        </w:trPr>
        <w:tc>
          <w:tcPr>
            <w:tcW w:w="10080" w:type="dxa"/>
            <w:tcBorders>
              <w:top w:val="single" w:color="EAF2F8" w:sz="0" w:space="0"/>
              <w:left w:val="single" w:color="EAF2F8" w:sz="0" w:space="0"/>
              <w:bottom w:val="single" w:color="EAF2F8" w:sz="0" w:space="0"/>
              <w:right w:val="single" w:color="EAF2F8" w:sz="0" w:space="0"/>
              <w:insideH w:val="single" w:sz="0" w:space="0"/>
              <w:insideV w:val="single" w:sz="0" w:space="0"/>
            </w:tcBorders>
            <w:shd w:val="clear" w:color="auto" w:fill="EAF2F8"/>
            <w:tcMar>
              <w:top w:w="150" w:type="dxa"/>
              <w:left w:w="170" w:type="dxa"/>
              <w:bottom w:w="150" w:type="dxa"/>
              <w:right w:w="170" w:type="dxa"/>
            </w:tcMar>
          </w:tcPr>
          <w:p>
            <w:pPr>
              <w:spacing w:after="80"/>
            </w:pPr>
            <w:r>
              <w:rPr>
                <w:rFonts w:ascii="Aptos" w:hAnsi="Aptos"/>
                <w:b/>
                <w:color w:val="173B62"/>
                <w:sz w:val="21"/>
              </w:rPr>
              <w:t>Future Roadmap Reference</w:t>
            </w:r>
          </w:p>
          <w:p>
            <w:pPr>
              <w:spacing w:after="0"/>
            </w:pPr>
            <w:r>
              <w:rPr>
                <w:rFonts w:ascii="Aptos" w:hAnsi="Aptos"/>
                <w:color w:val="1D2A36"/>
                <w:sz w:val="20"/>
              </w:rPr>
              <w:t>The future 'Ask about Algeria-Europe Energy' capability may later incorporate trusted government, news and research sources, document ingestion, vector retrieval, multilingual processing and referenced AI answers. It is not part of the Phase 1 acceptance baseline.</w:t>
            </w:r>
          </w:p>
        </w:tc>
      </w:tr>
    </w:tbl>
    <w:p>
      <w:pPr>
        <w:spacing w:after="0"/>
      </w:pPr>
    </w:p>
    <w:p>
      <w:pPr>
        <w:pStyle w:val="2"/>
        <w:keepNext/>
        <w:spacing w:before="240" w:after="120"/>
      </w:pPr>
      <w:r>
        <w:rPr>
          <w:rFonts w:ascii="Aptos Display" w:hAnsi="Aptos Display"/>
          <w:b/>
          <w:color w:val="173B62"/>
          <w:sz w:val="32"/>
        </w:rPr>
        <w:t>11. Requirement Traceability and Acceptance</w:t>
      </w:r>
    </w:p>
    <w:tbl>
      <w:tblPr>
        <w:tblStyle w:val="12"/>
        <w:tblW w:w="0" w:type="auto"/>
        <w:jc w:val="center"/>
        <w:tblLayout w:type="fixed"/>
        <w:tblCellMar>
          <w:top w:w="0" w:type="dxa"/>
          <w:left w:w="108" w:type="dxa"/>
          <w:bottom w:w="0" w:type="dxa"/>
          <w:right w:w="108" w:type="dxa"/>
        </w:tblCellMar>
      </w:tblPr>
      <w:tblGrid>
        <w:gridCol w:w="3360"/>
        <w:gridCol w:w="3360"/>
        <w:gridCol w:w="3360"/>
      </w:tblGrid>
      <w:tr>
        <w:tblPrEx>
          <w:tblCellMar>
            <w:top w:w="0" w:type="dxa"/>
            <w:left w:w="108" w:type="dxa"/>
            <w:bottom w:w="0" w:type="dxa"/>
            <w:right w:w="108" w:type="dxa"/>
          </w:tblCellMar>
        </w:tblPrEx>
        <w:trPr>
          <w:cantSplit/>
          <w:tblHeader/>
          <w:jc w:val="center"/>
        </w:trPr>
        <w:tc>
          <w:tcPr>
            <w:tcW w:w="223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Milestone</w:t>
            </w:r>
          </w:p>
        </w:tc>
        <w:tc>
          <w:tcPr>
            <w:tcW w:w="5112"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Requirements / Output</w:t>
            </w:r>
          </w:p>
        </w:tc>
        <w:tc>
          <w:tcPr>
            <w:tcW w:w="2736" w:type="dxa"/>
            <w:tcBorders>
              <w:top w:val="single" w:color="173B62" w:sz="4" w:space="0"/>
              <w:left w:val="single" w:color="173B62" w:sz="4" w:space="0"/>
              <w:bottom w:val="single" w:color="173B62" w:sz="4" w:space="0"/>
              <w:right w:val="single" w:color="173B62" w:sz="4" w:space="0"/>
              <w:insideH w:val="single" w:sz="4" w:space="0"/>
              <w:insideV w:val="single" w:sz="4" w:space="0"/>
            </w:tcBorders>
            <w:shd w:val="clear" w:color="auto" w:fill="173B62"/>
            <w:tcMar>
              <w:top w:w="120" w:type="dxa"/>
              <w:left w:w="110" w:type="dxa"/>
              <w:bottom w:w="120" w:type="dxa"/>
              <w:right w:w="110" w:type="dxa"/>
            </w:tcMar>
            <w:vAlign w:val="center"/>
          </w:tcPr>
          <w:p>
            <w:pPr>
              <w:spacing w:after="0"/>
            </w:pPr>
            <w:r>
              <w:rPr>
                <w:rFonts w:ascii="Aptos" w:hAnsi="Aptos"/>
                <w:b/>
                <w:color w:val="FFFFFF"/>
                <w:sz w:val="19"/>
              </w:rPr>
              <w:t>Review Basis</w:t>
            </w:r>
          </w:p>
        </w:tc>
      </w:tr>
      <w:tr>
        <w:tblPrEx>
          <w:tblCellMar>
            <w:top w:w="0" w:type="dxa"/>
            <w:left w:w="108" w:type="dxa"/>
            <w:bottom w:w="0" w:type="dxa"/>
            <w:right w:w="108" w:type="dxa"/>
          </w:tblCellMar>
        </w:tblPrEx>
        <w:trPr>
          <w:cantSplit/>
          <w:jc w:val="center"/>
        </w:trPr>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Week 1 - Scope and Setup</w:t>
            </w:r>
          </w:p>
        </w:tc>
        <w:tc>
          <w:tcPr>
            <w:tcW w:w="511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Requirements baseline, simple architecture direction, wireframe/layout direction, repository/local setup and initial database structure.</w:t>
            </w:r>
          </w:p>
        </w:tc>
        <w:tc>
          <w:tcPr>
            <w:tcW w:w="27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Document review and setup confirmation.</w:t>
            </w:r>
          </w:p>
        </w:tc>
      </w:tr>
      <w:tr>
        <w:tblPrEx>
          <w:tblCellMar>
            <w:top w:w="0" w:type="dxa"/>
            <w:left w:w="108" w:type="dxa"/>
            <w:bottom w:w="0" w:type="dxa"/>
            <w:right w:w="108" w:type="dxa"/>
          </w:tblCellMar>
        </w:tblPrEx>
        <w:trPr>
          <w:cantSplit/>
          <w:jc w:val="center"/>
        </w:trPr>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Week 2 - Public Website</w:t>
            </w:r>
          </w:p>
        </w:tc>
        <w:tc>
          <w:tcPr>
            <w:tcW w:w="511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FR-PUB-01 to FR-PUB-08; NFR-01 and NFR-02.</w:t>
            </w:r>
          </w:p>
        </w:tc>
        <w:tc>
          <w:tcPr>
            <w:tcW w:w="27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Review of public pages and responsive baseline.</w:t>
            </w:r>
          </w:p>
        </w:tc>
      </w:tr>
      <w:tr>
        <w:tblPrEx>
          <w:tblCellMar>
            <w:top w:w="0" w:type="dxa"/>
            <w:left w:w="108" w:type="dxa"/>
            <w:bottom w:w="0" w:type="dxa"/>
            <w:right w:w="108" w:type="dxa"/>
          </w:tblCellMar>
        </w:tblPrEx>
        <w:trPr>
          <w:cantSplit/>
          <w:jc w:val="center"/>
        </w:trPr>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color w:val="1D2A36"/>
                <w:sz w:val="18"/>
              </w:rPr>
              <w:t>Week 3 - CMS and AI</w:t>
            </w:r>
          </w:p>
        </w:tc>
        <w:tc>
          <w:tcPr>
            <w:tcW w:w="511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FR-ADM-01 to FR-ADM-07; FR-AI-01 to FR-AI-05; NFR-03 and NFR-05.</w:t>
            </w:r>
          </w:p>
        </w:tc>
        <w:tc>
          <w:tcPr>
            <w:tcW w:w="27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FFFFFF"/>
            <w:tcMar>
              <w:top w:w="100" w:type="dxa"/>
              <w:left w:w="110" w:type="dxa"/>
              <w:bottom w:w="100" w:type="dxa"/>
              <w:right w:w="110" w:type="dxa"/>
            </w:tcMar>
            <w:vAlign w:val="center"/>
          </w:tcPr>
          <w:p>
            <w:pPr>
              <w:spacing w:after="0" w:line="247" w:lineRule="auto"/>
            </w:pPr>
            <w:r>
              <w:rPr>
                <w:rFonts w:ascii="Aptos" w:hAnsi="Aptos"/>
                <w:b w:val="0"/>
                <w:color w:val="1D2A36"/>
                <w:sz w:val="18"/>
              </w:rPr>
              <w:t>Admin/CMS test and basic AI prototype demonstration.</w:t>
            </w:r>
          </w:p>
        </w:tc>
      </w:tr>
      <w:tr>
        <w:tblPrEx>
          <w:tblCellMar>
            <w:top w:w="0" w:type="dxa"/>
            <w:left w:w="108" w:type="dxa"/>
            <w:bottom w:w="0" w:type="dxa"/>
            <w:right w:w="108" w:type="dxa"/>
          </w:tblCellMar>
        </w:tblPrEx>
        <w:trPr>
          <w:cantSplit/>
          <w:jc w:val="center"/>
        </w:trPr>
        <w:tc>
          <w:tcPr>
            <w:tcW w:w="223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color w:val="1D2A36"/>
                <w:sz w:val="18"/>
              </w:rPr>
              <w:t>Week 4 - Finalization</w:t>
            </w:r>
          </w:p>
        </w:tc>
        <w:tc>
          <w:tcPr>
            <w:tcW w:w="5112"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Deployment, testing, UI polish, bug fixing, basic handover and source code transfer.</w:t>
            </w:r>
          </w:p>
        </w:tc>
        <w:tc>
          <w:tcPr>
            <w:tcW w:w="2736" w:type="dxa"/>
            <w:tcBorders>
              <w:top w:val="single" w:color="CCD8E4" w:sz="4" w:space="0"/>
              <w:left w:val="single" w:color="CCD8E4" w:sz="4" w:space="0"/>
              <w:bottom w:val="single" w:color="CCD8E4" w:sz="4" w:space="0"/>
              <w:right w:val="single" w:color="CCD8E4" w:sz="4" w:space="0"/>
              <w:insideH w:val="single" w:sz="4" w:space="0"/>
              <w:insideV w:val="single" w:sz="4" w:space="0"/>
            </w:tcBorders>
            <w:shd w:val="clear" w:color="auto" w:fill="EAF2F8"/>
            <w:tcMar>
              <w:top w:w="100" w:type="dxa"/>
              <w:left w:w="110" w:type="dxa"/>
              <w:bottom w:w="100" w:type="dxa"/>
              <w:right w:w="110" w:type="dxa"/>
            </w:tcMar>
            <w:vAlign w:val="center"/>
          </w:tcPr>
          <w:p>
            <w:pPr>
              <w:spacing w:after="0" w:line="247" w:lineRule="auto"/>
            </w:pPr>
            <w:r>
              <w:rPr>
                <w:rFonts w:ascii="Aptos" w:hAnsi="Aptos"/>
                <w:b w:val="0"/>
                <w:color w:val="1D2A36"/>
                <w:sz w:val="18"/>
              </w:rPr>
              <w:t>Final deployed review against approved requirements.</w:t>
            </w:r>
          </w:p>
        </w:tc>
      </w:tr>
    </w:tbl>
    <w:p>
      <w:pPr>
        <w:spacing w:after="20"/>
      </w:pPr>
    </w:p>
    <w:p>
      <w:pPr>
        <w:pStyle w:val="3"/>
        <w:keepNext/>
        <w:spacing w:before="160" w:after="120"/>
      </w:pPr>
      <w:r>
        <w:rPr>
          <w:rFonts w:ascii="Aptos Display" w:hAnsi="Aptos Display"/>
          <w:b/>
          <w:color w:val="067F7A"/>
          <w:sz w:val="24"/>
        </w:rPr>
        <w:t>11.1 General Acceptance Conditions</w:t>
      </w:r>
    </w:p>
    <w:p>
      <w:pPr>
        <w:pStyle w:val="23"/>
        <w:spacing w:after="60"/>
        <w:ind w:left="360"/>
      </w:pPr>
      <w:r>
        <w:rPr>
          <w:rFonts w:ascii="Aptos" w:hAnsi="Aptos"/>
          <w:color w:val="1D2A36"/>
          <w:sz w:val="20"/>
        </w:rPr>
        <w:t>The agreed public pages are implemented and show approved or approved-sample content in a professional responsive layout.</w:t>
      </w:r>
    </w:p>
    <w:p>
      <w:pPr>
        <w:pStyle w:val="23"/>
        <w:spacing w:after="60"/>
        <w:ind w:left="360"/>
      </w:pPr>
      <w:r>
        <w:rPr>
          <w:rFonts w:ascii="Aptos" w:hAnsi="Aptos"/>
          <w:color w:val="1D2A36"/>
          <w:sz w:val="20"/>
        </w:rPr>
        <w:t>Authorized administration can perform the agreed article and publication management operations.</w:t>
      </w:r>
    </w:p>
    <w:p>
      <w:pPr>
        <w:pStyle w:val="23"/>
        <w:spacing w:after="60"/>
        <w:ind w:left="360"/>
      </w:pPr>
      <w:r>
        <w:rPr>
          <w:rFonts w:ascii="Aptos" w:hAnsi="Aptos"/>
          <w:color w:val="1D2A36"/>
          <w:sz w:val="20"/>
        </w:rPr>
        <w:t>Basic AI summarization and assistant prototype demonstrate the defined limited flow through secure backend handling.</w:t>
      </w:r>
    </w:p>
    <w:p>
      <w:pPr>
        <w:pStyle w:val="23"/>
        <w:spacing w:after="60"/>
        <w:ind w:left="360"/>
      </w:pPr>
      <w:r>
        <w:rPr>
          <w:rFonts w:ascii="Aptos" w:hAnsi="Aptos"/>
          <w:color w:val="1D2A36"/>
          <w:sz w:val="20"/>
        </w:rPr>
        <w:t>Excluded functionality is not required for Phase 1 acceptance.</w:t>
      </w:r>
    </w:p>
    <w:p>
      <w:pPr>
        <w:pStyle w:val="23"/>
        <w:spacing w:after="60"/>
        <w:ind w:left="360"/>
      </w:pPr>
      <w:r>
        <w:rPr>
          <w:rFonts w:ascii="Aptos" w:hAnsi="Aptos"/>
          <w:color w:val="1D2A36"/>
          <w:sz w:val="20"/>
        </w:rPr>
        <w:t>Deployment and basic handover materials are provided following final review.</w:t>
      </w:r>
    </w:p>
    <w:p>
      <w:pPr>
        <w:pStyle w:val="3"/>
        <w:keepNext/>
        <w:spacing w:before="160" w:after="120"/>
      </w:pPr>
      <w:r>
        <w:rPr>
          <w:rFonts w:ascii="Aptos Display" w:hAnsi="Aptos Display"/>
          <w:b/>
          <w:color w:val="067F7A"/>
          <w:sz w:val="24"/>
        </w:rPr>
        <w:t>11.2 Requirement Change Handling</w:t>
      </w:r>
    </w:p>
    <w:p>
      <w:pPr>
        <w:spacing w:after="120" w:line="259" w:lineRule="auto"/>
      </w:pPr>
      <w:r>
        <w:rPr>
          <w:rFonts w:ascii="Aptos" w:hAnsi="Aptos"/>
          <w:b w:val="0"/>
          <w:i w:val="0"/>
          <w:color w:val="1D2A36"/>
          <w:sz w:val="20"/>
        </w:rPr>
        <w:t>Any request that adds pages, content categories, workflows, data integrations, AI capabilities or substantial editorial work beyond the requirements in this document shall be reviewed for impact on cost and timeline before implementation. Approved changes should be recorded in writing.</w:t>
      </w:r>
    </w:p>
    <w:p>
      <w:pPr>
        <w:pStyle w:val="3"/>
        <w:keepNext/>
        <w:spacing w:before="160" w:after="120"/>
        <w:rPr>
          <w:rFonts w:ascii="Aptos Display" w:hAnsi="Aptos Display"/>
          <w:b/>
          <w:color w:val="067F7A"/>
          <w:sz w:val="24"/>
        </w:rPr>
      </w:pPr>
      <w:r>
        <w:rPr>
          <w:rFonts w:ascii="Aptos Display" w:hAnsi="Aptos Display"/>
          <w:b/>
          <w:color w:val="067F7A"/>
          <w:sz w:val="24"/>
        </w:rPr>
        <w:t>11.3 Approval Record</w:t>
      </w:r>
    </w:p>
    <w:tbl>
      <w:tblPr>
        <w:tblStyle w:val="12"/>
        <w:tblW w:w="0" w:type="auto"/>
        <w:jc w:val="center"/>
        <w:tblLayout w:type="autofit"/>
        <w:tblCellMar>
          <w:top w:w="0" w:type="dxa"/>
          <w:left w:w="108" w:type="dxa"/>
          <w:bottom w:w="0" w:type="dxa"/>
          <w:right w:w="108" w:type="dxa"/>
        </w:tblCellMar>
      </w:tblPr>
      <w:tblGrid>
        <w:gridCol w:w="4608"/>
        <w:gridCol w:w="4608"/>
      </w:tblGrid>
      <w:tr>
        <w:tblPrEx>
          <w:tblCellMar>
            <w:top w:w="0" w:type="dxa"/>
            <w:left w:w="108" w:type="dxa"/>
            <w:bottom w:w="0" w:type="dxa"/>
            <w:right w:w="108" w:type="dxa"/>
          </w:tblCellMar>
        </w:tblPrEx>
        <w:trPr>
          <w:jc w:val="center"/>
        </w:trPr>
        <w:tc>
          <w:tcPr>
            <w:tcW w:w="4608" w:type="dxa"/>
            <w:tcBorders>
              <w:top w:val="single" w:color="D9E1EA" w:sz="4" w:space="0"/>
              <w:left w:val="single" w:color="D9E1EA" w:sz="4" w:space="0"/>
              <w:bottom w:val="single" w:color="D9E1EA" w:sz="4" w:space="0"/>
              <w:right w:val="single" w:color="D9E1EA" w:sz="4" w:space="0"/>
            </w:tcBorders>
            <w:shd w:val="clear" w:color="auto" w:fill="163A5F"/>
            <w:tcMar>
              <w:top w:w="150" w:type="dxa"/>
              <w:left w:w="160" w:type="dxa"/>
              <w:bottom w:w="150" w:type="dxa"/>
              <w:right w:w="160" w:type="dxa"/>
            </w:tcMar>
          </w:tcPr>
          <w:p>
            <w:pPr>
              <w:spacing w:after="0"/>
            </w:pPr>
            <w:r>
              <w:rPr>
                <w:rFonts w:ascii="Aptos" w:hAnsi="Aptos"/>
                <w:b/>
                <w:color w:val="FFFFFF"/>
                <w:sz w:val="19"/>
              </w:rPr>
              <w:t>Client / Project Owner</w:t>
            </w:r>
          </w:p>
        </w:tc>
        <w:tc>
          <w:tcPr>
            <w:tcW w:w="4608" w:type="dxa"/>
            <w:tcBorders>
              <w:top w:val="single" w:color="D9E1EA" w:sz="4" w:space="0"/>
              <w:left w:val="single" w:color="D9E1EA" w:sz="4" w:space="0"/>
              <w:bottom w:val="single" w:color="D9E1EA" w:sz="4" w:space="0"/>
              <w:right w:val="single" w:color="D9E1EA" w:sz="4" w:space="0"/>
            </w:tcBorders>
            <w:shd w:val="clear" w:color="auto" w:fill="163A5F"/>
            <w:tcMar>
              <w:top w:w="150" w:type="dxa"/>
              <w:left w:w="160" w:type="dxa"/>
              <w:bottom w:w="150" w:type="dxa"/>
              <w:right w:w="160" w:type="dxa"/>
            </w:tcMar>
          </w:tcPr>
          <w:p>
            <w:pPr>
              <w:spacing w:after="0"/>
            </w:pPr>
            <w:r>
              <w:rPr>
                <w:rFonts w:ascii="Aptos" w:hAnsi="Aptos"/>
                <w:b/>
                <w:color w:val="FFFFFF"/>
                <w:sz w:val="19"/>
              </w:rPr>
              <w:t>Development Provider</w:t>
            </w:r>
          </w:p>
        </w:tc>
      </w:tr>
      <w:tr>
        <w:tblPrEx>
          <w:tblCellMar>
            <w:top w:w="0" w:type="dxa"/>
            <w:left w:w="108" w:type="dxa"/>
            <w:bottom w:w="0" w:type="dxa"/>
            <w:right w:w="108" w:type="dxa"/>
          </w:tblCellMar>
        </w:tblPrEx>
        <w:trPr>
          <w:jc w:val="center"/>
        </w:trPr>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pPr>
            <w:r>
              <w:rPr>
                <w:rFonts w:ascii="Aptos" w:hAnsi="Aptos"/>
                <w:b w:val="0"/>
                <w:color w:val="1F2937"/>
                <w:sz w:val="19"/>
              </w:rPr>
              <w:t xml:space="preserve">Name: </w:t>
            </w:r>
            <w:r>
              <w:rPr>
                <w:rFonts w:hint="default" w:ascii="Aptos" w:hAnsi="Aptos"/>
                <w:b w:val="0"/>
                <w:color w:val="1F2937"/>
                <w:sz w:val="19"/>
              </w:rPr>
              <w:t>Ramdane Belamri</w:t>
            </w:r>
          </w:p>
        </w:tc>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rPr>
                <w:rFonts w:hint="default"/>
                <w:lang w:val="en-US"/>
              </w:rPr>
            </w:pPr>
            <w:r>
              <w:rPr>
                <w:rFonts w:ascii="Aptos" w:hAnsi="Aptos"/>
                <w:b w:val="0"/>
                <w:color w:val="1F2937"/>
                <w:sz w:val="19"/>
              </w:rPr>
              <w:t xml:space="preserve">Name: </w:t>
            </w:r>
            <w:r>
              <w:rPr>
                <w:rFonts w:hint="default"/>
                <w:b w:val="0"/>
                <w:color w:val="1F2937"/>
                <w:sz w:val="19"/>
                <w:lang w:val="en-US"/>
              </w:rPr>
              <w:t>Moh Puji Junaedi</w:t>
            </w:r>
          </w:p>
        </w:tc>
      </w:tr>
      <w:tr>
        <w:tblPrEx>
          <w:tblCellMar>
            <w:top w:w="0" w:type="dxa"/>
            <w:left w:w="108" w:type="dxa"/>
            <w:bottom w:w="0" w:type="dxa"/>
            <w:right w:w="108" w:type="dxa"/>
          </w:tblCellMar>
        </w:tblPrEx>
        <w:trPr>
          <w:jc w:val="center"/>
        </w:trPr>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pPr>
            <w:r>
              <w:rPr>
                <w:rFonts w:ascii="Aptos" w:hAnsi="Aptos"/>
                <w:b w:val="0"/>
                <w:color w:val="1F2937"/>
                <w:sz w:val="19"/>
              </w:rPr>
              <w:t>Signature: ___________________________</w:t>
            </w:r>
          </w:p>
        </w:tc>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pPr>
            <w:r>
              <w:rPr>
                <w:rFonts w:ascii="Aptos" w:hAnsi="Aptos"/>
                <w:b w:val="0"/>
                <w:color w:val="1F2937"/>
                <w:sz w:val="19"/>
              </w:rPr>
              <w:t>Signature: ___________________________</w:t>
            </w:r>
          </w:p>
        </w:tc>
      </w:tr>
      <w:tr>
        <w:tblPrEx>
          <w:tblCellMar>
            <w:top w:w="0" w:type="dxa"/>
            <w:left w:w="108" w:type="dxa"/>
            <w:bottom w:w="0" w:type="dxa"/>
            <w:right w:w="108" w:type="dxa"/>
          </w:tblCellMar>
        </w:tblPrEx>
        <w:trPr>
          <w:jc w:val="center"/>
        </w:trPr>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rPr>
                <w:rFonts w:hint="default"/>
                <w:lang w:val="en-US"/>
              </w:rPr>
            </w:pPr>
            <w:r>
              <w:rPr>
                <w:rFonts w:ascii="Aptos" w:hAnsi="Aptos"/>
                <w:b w:val="0"/>
                <w:color w:val="1F2937"/>
                <w:sz w:val="19"/>
              </w:rPr>
              <w:t>Date:</w:t>
            </w:r>
            <w:r>
              <w:rPr>
                <w:rFonts w:hint="default"/>
                <w:b w:val="0"/>
                <w:color w:val="1F2937"/>
                <w:sz w:val="19"/>
                <w:lang w:val="en-US"/>
              </w:rPr>
              <w:t xml:space="preserve"> 25/05/2026</w:t>
            </w:r>
          </w:p>
        </w:tc>
        <w:tc>
          <w:tcPr>
            <w:tcW w:w="4608" w:type="dxa"/>
            <w:tcBorders>
              <w:top w:val="single" w:color="D9E1EA" w:sz="4" w:space="0"/>
              <w:left w:val="single" w:color="D9E1EA" w:sz="4" w:space="0"/>
              <w:bottom w:val="single" w:color="D9E1EA" w:sz="4" w:space="0"/>
              <w:right w:val="single" w:color="D9E1EA" w:sz="4" w:space="0"/>
            </w:tcBorders>
            <w:tcMar>
              <w:top w:w="150" w:type="dxa"/>
              <w:left w:w="160" w:type="dxa"/>
              <w:bottom w:w="150" w:type="dxa"/>
              <w:right w:w="160" w:type="dxa"/>
            </w:tcMar>
          </w:tcPr>
          <w:p>
            <w:pPr>
              <w:spacing w:after="0"/>
            </w:pPr>
            <w:r>
              <w:rPr>
                <w:rFonts w:ascii="Aptos" w:hAnsi="Aptos"/>
                <w:b w:val="0"/>
                <w:color w:val="1F2937"/>
                <w:sz w:val="19"/>
              </w:rPr>
              <w:t xml:space="preserve">Date: </w:t>
            </w:r>
            <w:r>
              <w:rPr>
                <w:rFonts w:hint="default"/>
                <w:b w:val="0"/>
                <w:color w:val="1F2937"/>
                <w:sz w:val="19"/>
                <w:lang w:val="en-US"/>
              </w:rPr>
              <w:t>25/05/2026</w:t>
            </w:r>
          </w:p>
        </w:tc>
      </w:tr>
    </w:tbl>
    <w:p>
      <w:bookmarkStart w:id="0" w:name="_GoBack"/>
      <w:bookmarkEnd w:id="0"/>
    </w:p>
    <w:p>
      <w:pPr>
        <w:spacing w:after="20"/>
      </w:pPr>
    </w:p>
    <w:sectPr>
      <w:headerReference r:id="rId5" w:type="default"/>
      <w:footerReference r:id="rId6" w:type="default"/>
      <w:pgSz w:w="12240" w:h="15840"/>
      <w:pgMar w:top="1080" w:right="1080" w:bottom="1008"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Noto Sans CJK SC"/>
    <w:panose1 w:val="00000000000000000000"/>
    <w:charset w:val="86"/>
    <w:family w:val="auto"/>
    <w:pitch w:val="default"/>
    <w:sig w:usb0="00000000" w:usb1="00000000" w:usb2="00000000" w:usb3="00000000" w:csb0="00000000" w:csb1="00000000"/>
  </w:font>
  <w:font w:name="DejaVu Sans">
    <w:panose1 w:val="020B0606030804020204"/>
    <w:charset w:val="00"/>
    <w:family w:val="auto"/>
    <w:pitch w:val="default"/>
    <w:sig w:usb0="E7006EFF" w:usb1="D200FDFF" w:usb2="0A246029" w:usb3="0400200C" w:csb0="600001FF" w:csb1="DFFF0000"/>
  </w:font>
  <w:font w:name="Noto Sans CJK SC">
    <w:panose1 w:val="020B0500000000000000"/>
    <w:charset w:val="86"/>
    <w:family w:val="auto"/>
    <w:pitch w:val="default"/>
    <w:sig w:usb0="30000083" w:usb1="2BDF3C10" w:usb2="00000016" w:usb3="00000000" w:csb0="602E0107" w:csb1="00000000"/>
  </w:font>
  <w:font w:name="Arial">
    <w:altName w:val="DejaVu Sans"/>
    <w:panose1 w:val="020B0604020202020204"/>
    <w:charset w:val="00"/>
    <w:family w:val="swiss"/>
    <w:pitch w:val="default"/>
    <w:sig w:usb0="20007A87" w:usb1="80000000" w:usb2="00000008" w:usb3="00000000" w:csb0="000001FF" w:csb1="00000000"/>
  </w:font>
  <w:font w:name="黑体">
    <w:altName w:val="Noto Sans CJK SC"/>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Wingdings">
    <w:altName w:val="Adwaita Mono"/>
    <w:panose1 w:val="05000000000000000000"/>
    <w:charset w:val="00"/>
    <w:family w:val="auto"/>
    <w:pitch w:val="default"/>
    <w:sig w:usb0="00000000" w:usb1="10000000" w:usb2="00000000" w:usb3="00000000" w:csb0="80000000" w:csb1="00000000"/>
  </w:font>
  <w:font w:name="Adwaita Mono">
    <w:panose1 w:val="02000509030000000004"/>
    <w:charset w:val="00"/>
    <w:family w:val="auto"/>
    <w:pitch w:val="default"/>
    <w:sig w:usb0="E50006FF" w:usb1="5040FFFF" w:usb2="03040028" w:usb3="0010A008" w:csb0="2000011F" w:csb1="C4000000"/>
  </w:font>
  <w:font w:name="Calibri">
    <w:altName w:val="DejaVu Sans"/>
    <w:panose1 w:val="020F0502020204030204"/>
    <w:charset w:val="00"/>
    <w:family w:val="swiss"/>
    <w:pitch w:val="default"/>
    <w:sig w:usb0="00000000" w:usb1="00000000" w:usb2="00000001" w:usb3="00000000" w:csb0="0000019F" w:csb1="00000000"/>
  </w:font>
  <w:font w:name="SimSun">
    <w:altName w:val="Noto Sans CJK SC"/>
    <w:panose1 w:val="02010600030101010101"/>
    <w:charset w:val="86"/>
    <w:family w:val="auto"/>
    <w:pitch w:val="default"/>
    <w:sig w:usb0="00000000" w:usb1="00000000" w:usb2="00000016" w:usb3="00000000" w:csb0="00040001" w:csb1="00000000"/>
  </w:font>
  <w:font w:name="Cambria">
    <w:altName w:val="Liberation Serif"/>
    <w:panose1 w:val="02040503050406030204"/>
    <w:charset w:val="00"/>
    <w:family w:val="auto"/>
    <w:pitch w:val="default"/>
    <w:sig w:usb0="00000000" w:usb1="00000000" w:usb2="00000000" w:usb3="00000000" w:csb0="0000019F" w:csb1="00000000"/>
  </w:font>
  <w:font w:name="Liberation Serif">
    <w:panose1 w:val="02020603050405020304"/>
    <w:charset w:val="00"/>
    <w:family w:val="auto"/>
    <w:pitch w:val="default"/>
    <w:sig w:usb0="E0000AFF" w:usb1="500078FF" w:usb2="00000021" w:usb3="00000000" w:csb0="600001BF" w:csb1="DFF70000"/>
  </w:font>
  <w:font w:name="ＭＳ 明朝">
    <w:altName w:val="Adwaita Mono"/>
    <w:panose1 w:val="00000000000000000000"/>
    <w:charset w:val="80"/>
    <w:family w:val="roman"/>
    <w:pitch w:val="default"/>
    <w:sig w:usb0="00000000" w:usb1="00000000" w:usb2="00000010" w:usb3="00000000" w:csb0="00020000" w:csb1="00000000"/>
  </w:font>
  <w:font w:name="ＭＳ 明朝">
    <w:altName w:val="Adwaita Mono"/>
    <w:panose1 w:val="00000000000000000000"/>
    <w:charset w:val="86"/>
    <w:family w:val="auto"/>
    <w:pitch w:val="default"/>
    <w:sig w:usb0="00000000" w:usb1="00000000" w:usb2="00000000" w:usb3="00000000" w:csb0="00000000" w:csb1="00000000"/>
  </w:font>
  <w:font w:name="Aptos">
    <w:altName w:val="Adwaita Mono"/>
    <w:panose1 w:val="00000000000000000000"/>
    <w:charset w:val="00"/>
    <w:family w:val="auto"/>
    <w:pitch w:val="default"/>
    <w:sig w:usb0="00000000" w:usb1="00000000" w:usb2="00000000" w:usb3="00000000" w:csb0="00000000" w:csb1="00000000"/>
  </w:font>
  <w:font w:name="ＭＳ ゴシック">
    <w:altName w:val="Adwaita Mono"/>
    <w:panose1 w:val="00000000000000000000"/>
    <w:charset w:val="80"/>
    <w:family w:val="modern"/>
    <w:pitch w:val="default"/>
    <w:sig w:usb0="00000000" w:usb1="00000000" w:usb2="00000010" w:usb3="00000000" w:csb0="00020000" w:csb1="00000000"/>
  </w:font>
  <w:font w:name="ＭＳ 明朝">
    <w:altName w:val="Adwaita Mono"/>
    <w:panose1 w:val="00000000000000000000"/>
    <w:charset w:val="00"/>
    <w:family w:val="auto"/>
    <w:pitch w:val="default"/>
    <w:sig w:usb0="00000000" w:usb1="00000000" w:usb2="00000000" w:usb3="00000000" w:csb0="00000000" w:csb1="00000000"/>
  </w:font>
  <w:font w:name="Symbol">
    <w:altName w:val="Noto Color Emoji"/>
    <w:panose1 w:val="00000000000000000000"/>
    <w:charset w:val="02"/>
    <w:family w:val="auto"/>
    <w:pitch w:val="default"/>
    <w:sig w:usb0="00000000" w:usb1="00000000" w:usb2="00000000" w:usb3="00000000" w:csb0="80000000" w:csb1="00000000"/>
  </w:font>
  <w:font w:name="Noto Color Emoji">
    <w:panose1 w:val="02000609000000000000"/>
    <w:charset w:val="00"/>
    <w:family w:val="auto"/>
    <w:pitch w:val="default"/>
    <w:sig w:usb0="00000001" w:usb1="00000000" w:usb2="00000000" w:usb3="00000000" w:csb0="00000001" w:csb1="00000000"/>
  </w:font>
  <w:font w:name="Courier">
    <w:altName w:val="Cantarell"/>
    <w:panose1 w:val="02000500000000000000"/>
    <w:charset w:val="00"/>
    <w:family w:val="auto"/>
    <w:pitch w:val="default"/>
    <w:sig w:usb0="00000000" w:usb1="00000000" w:usb2="00000000" w:usb3="00000000" w:csb0="00000001" w:csb1="00000000"/>
  </w:font>
  <w:font w:name="Cantarell">
    <w:panose1 w:val="02000503000000000000"/>
    <w:charset w:val="00"/>
    <w:family w:val="auto"/>
    <w:pitch w:val="default"/>
    <w:sig w:usb0="E00002FF" w:usb1="4000217B" w:usb2="00000000" w:usb3="00000000" w:csb0="2000019F" w:csb1="00000000"/>
  </w:font>
  <w:font w:name="Aptos Display">
    <w:altName w:val="Adwaita Mono"/>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8"/>
      <w:jc w:val="center"/>
    </w:pPr>
    <w:r>
      <w:rPr>
        <w:rFonts w:ascii="Aptos" w:hAnsi="Aptos"/>
        <w:color w:val="607089"/>
        <w:sz w:val="17"/>
      </w:rPr>
      <w:t>Simple Requirement Document  |  RamBelEnergy.com  |  Phase 1 Lean MVP</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9"/>
      <w:jc w:val="right"/>
    </w:pPr>
    <w:r>
      <w:rPr>
        <w:rFonts w:ascii="Aptos" w:hAnsi="Aptos"/>
        <w:b/>
        <w:color w:val="607089"/>
        <w:sz w:val="18"/>
      </w:rPr>
      <w:t>RAMBELENERGY.COM  |  PHASE 1 REQUIREMENTS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9DEDBB0F"/>
    <w:rsid w:val="BF5602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259" w:lineRule="auto"/>
    </w:pPr>
    <w:rPr>
      <w:rFonts w:ascii="Aptos" w:hAnsi="Aptos" w:eastAsiaTheme="minorEastAsia" w:cstheme="minorBidi"/>
      <w:color w:val="1D2A36"/>
      <w:sz w:val="20"/>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73B62"/>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067F7A"/>
      <w:sz w:val="24"/>
      <w:szCs w:val="26"/>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b/>
      <w:color w:val="173B62"/>
      <w:spacing w:val="5"/>
      <w:kern w:val="28"/>
      <w:sz w:val="60"/>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2013-12-24T06:15:00Z</dcterms:created>
  <dc:creator>RamBelEnergy.com Project</dc:creator>
  <dc:description>generated by python-docx</dc:description>
  <cp:keywords>RamBelEnergy, Phase 1, MVP, requirements, energy analysis</cp:keywords>
  <cp:lastModifiedBy>aisyah</cp:lastModifiedBy>
  <dcterms:modified xsi:type="dcterms:W3CDTF">2026-05-25T14:57:03Z</dcterms:modified>
  <dc:subject>Functional and non-functional requirements for the Phase 1 lean MVP</dc:subject>
  <dc:title>RamBelEnergy.com - Phase 1 Simple Requirement Document</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