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sz w:val="28"/>
          <w:szCs w:val="28"/>
        </w:rPr>
        <w:t xml:space="preserve">Highlights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Interpretable Machine Learning for Galaxy Morphology: A Calibrated Symbolic Concept Bottleneck, and Why Its Explanations Do Not Transfer Across Surveys</w:t>
      </w:r>
    </w:p>
    <w:p>
      <w:pPr>
        <w:spacing w:after="320" w:line="276"/>
      </w:pPr>
      <w:r>
        <w:rPr>
          <w:i/>
          <w:iCs/>
          <w:sz w:val="22"/>
          <w:szCs w:val="22"/>
        </w:rPr>
        <w:t xml:space="preserve">Ram Chand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sz w:val="22"/>
          <w:szCs w:val="22"/>
        </w:rPr>
        <w:t xml:space="preserve">First concept bottleneck model for galaxy morphology classification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sz w:val="22"/>
          <w:szCs w:val="22"/>
        </w:rPr>
        <w:t xml:space="preserve">The concept bottleneck costs 0.030 in kappa; the symbolic head adds no further cost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sz w:val="22"/>
          <w:szCs w:val="22"/>
        </w:rPr>
        <w:t xml:space="preserve">A 153-node analytic rule set replaces a 15M-parameter network and is printed in full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sz w:val="22"/>
          <w:szCs w:val="22"/>
        </w:rPr>
        <w:t xml:space="preserve">Per-class coverage spans 0.98 to 0.08; the fix triples prediction-set size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sz w:val="22"/>
          <w:szCs w:val="22"/>
        </w:rPr>
        <w:t xml:space="preserve">Accuracy transfers to Euclid Q1 but the symbolic explanations do not (J = 0.42)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2026-09-03T11:15:27.191Z</dcterms:created>
  <dcterms:modified xsi:type="dcterms:W3CDTF">2026-09-03T11:15:27.199Z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