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</w:pPr>
      <w:r>
        <w:rPr>
          <w:b/>
          <w:bCs/>
          <w:sz w:val="22"/>
          <w:szCs w:val="22"/>
        </w:rPr>
        <w:t xml:space="preserve">Ram Chand</w:t>
      </w:r>
    </w:p>
    <w:p>
      <w:pPr>
        <w:spacing w:after="0" w:line="276"/>
      </w:pPr>
      <w:r>
        <w:rPr>
          <w:sz w:val="22"/>
          <w:szCs w:val="22"/>
        </w:rPr>
        <w:t xml:space="preserve">Department of Natural Sciences</w:t>
      </w:r>
    </w:p>
    <w:p>
      <w:pPr>
        <w:spacing w:after="0" w:line="276"/>
      </w:pPr>
      <w:r>
        <w:rPr>
          <w:sz w:val="22"/>
          <w:szCs w:val="22"/>
        </w:rPr>
        <w:t xml:space="preserve">The Begum Nusrat Bhutto Women University</w:t>
      </w:r>
    </w:p>
    <w:p>
      <w:pPr>
        <w:spacing w:after="0" w:line="276"/>
      </w:pPr>
      <w:r>
        <w:rPr>
          <w:sz w:val="22"/>
          <w:szCs w:val="22"/>
        </w:rPr>
        <w:t xml:space="preserve">Sukkur, Sindh, Pakistan</w:t>
      </w:r>
    </w:p>
    <w:p>
      <w:pPr>
        <w:spacing w:after="320" w:line="276"/>
      </w:pPr>
      <w:r>
        <w:rPr>
          <w:sz w:val="22"/>
          <w:szCs w:val="22"/>
        </w:rPr>
        <w:t xml:space="preserve">ram.chand2k11@yahoo.com</w:t>
      </w:r>
    </w:p>
    <w:p>
      <w:pPr>
        <w:spacing w:after="320" w:line="276"/>
      </w:pPr>
      <w:r>
        <w:rPr>
          <w:sz w:val="22"/>
          <w:szCs w:val="22"/>
        </w:rPr>
        <w:t xml:space="preserve">[DATE]</w:t>
      </w:r>
    </w:p>
    <w:p>
      <w:pPr>
        <w:spacing w:after="0" w:line="276"/>
      </w:pPr>
      <w:r>
        <w:rPr>
          <w:sz w:val="22"/>
          <w:szCs w:val="22"/>
        </w:rPr>
        <w:t xml:space="preserve">The Editor-in-Chief</w:t>
      </w:r>
    </w:p>
    <w:p>
      <w:pPr>
        <w:spacing w:after="320" w:line="276"/>
      </w:pPr>
      <w:r>
        <w:rPr>
          <w:b/>
          <w:bCs/>
          <w:sz w:val="22"/>
          <w:szCs w:val="22"/>
        </w:rPr>
        <w:t xml:space="preserve">Astronomy and Computing</w:t>
      </w:r>
    </w:p>
    <w:p>
      <w:pPr>
        <w:spacing w:after="240" w:line="276"/>
      </w:pPr>
      <w:r>
        <w:rPr>
          <w:sz w:val="22"/>
          <w:szCs w:val="22"/>
        </w:rPr>
        <w:t xml:space="preserve">Dear Editor,</w:t>
      </w:r>
    </w:p>
    <w:p>
      <w:pPr>
        <w:spacing w:after="160" w:line="276"/>
      </w:pPr>
      <w:r>
        <w:rPr>
          <w:sz w:val="22"/>
          <w:szCs w:val="22"/>
        </w:rPr>
        <w:t xml:space="preserve">I submit for your consideration the manuscript entitled "Interpretable Machine Learning for Galaxy Morphology: A Calibrated Symbolic Concept Bottleneck, and Why Its Explanations Do Not Transfer Across Surveys" for publication in Astronomy and Computing.</w:t>
      </w:r>
    </w:p>
    <w:p>
      <w:pPr>
        <w:spacing w:after="160" w:line="276"/>
      </w:pPr>
      <w:r>
        <w:rPr>
          <w:sz w:val="22"/>
          <w:szCs w:val="22"/>
        </w:rPr>
        <w:t xml:space="preserve">Deep convolutional networks now classify galaxy morphology at survey scale, but they reason in representations with no physical referent, and the post-hoc attribution methods used to explain them describe a surrogate rather than the deployed decision. This manuscript takes the alternative route: it constrains the model to be interpretable by construction. We present the first Concept Bottleneck Model for galaxy morphology, in which a Zoobot ConvNeXt backbone predicts seventeen physically named concepts (ten Galaxy Zoo decision-tree tasks and seven statmorph structural statistics), and we replace the usual dense linear head with a compact analytic rule set discovered by symbolic regression. The deployed classifier is seven equations totalling 153 operator nodes, printed in full in the paper.</w:t>
      </w:r>
    </w:p>
    <w:p>
      <w:pPr>
        <w:spacing w:after="160" w:line="276"/>
      </w:pPr>
      <w:r>
        <w:rPr>
          <w:sz w:val="22"/>
          <w:szCs w:val="22"/>
        </w:rPr>
        <w:t xml:space="preserve">On 40,498 Galaxy Zoo Evo galaxies we measure what this interpretability costs rather than asserting it is free. An unconstrained ConvNeXt reaches a Cohen kappa of 0.601 against the symbolic head 0.571, so the concept bottleneck gives up 0.030. The symbolic head, a dense linear head and gradient-boosted trees over the same concepts agree to within 0.002, which localises that cost to the bottleneck rather than to the symbolic form of the classifier. A practitioner who accepts the concept layer for auditability can therefore adopt the analytic rule set at no further accuracy penalty, in place of a 15-million-parameter network. On macro-F1, which weights the rare morphologies equally, the ordering reverses and every concept-based model exceeds the network.</w:t>
      </w:r>
    </w:p>
    <w:p>
      <w:pPr>
        <w:spacing w:after="160" w:line="276"/>
      </w:pPr>
      <w:r>
        <w:rPr>
          <w:sz w:val="22"/>
          <w:szCs w:val="22"/>
        </w:rPr>
        <w:t xml:space="preserve">Two further results are, in my view, of wider consequence than the accuracy comparison, and they are the reason I believe this work suits your readership. First, split-conformal calibration is marginally exact (88.9% empirical against a 90% target) while per-class coverage ranges from 0.98 for ellipticals to 0.08 for the rarest spiral class. The guarantee is satisfied almost entirely by over-covering the dominant class, which directly threatens rare-object science; reporting marginal coverage alone is therefore misleading on the imbalanced samples typical of morphology catalogues. Second, applying the frozen pipeline to 161,395 Euclid Q1 galaxies preserves classification accuracy while a symbolic refit on Euclid recovers under half of the reference rules’ concept usage. Accuracy transfer and interpretation transfer are separate properties, and an accuracy-only robustness audit would certify a pipeline whose explanations had silently changed.</w:t>
      </w:r>
    </w:p>
    <w:p>
      <w:pPr>
        <w:spacing w:after="160" w:line="276"/>
      </w:pPr>
      <w:r>
        <w:rPr>
          <w:sz w:val="22"/>
          <w:szCs w:val="22"/>
        </w:rPr>
        <w:t xml:space="preserve">I believe this work fits the scope of Astronomy and Computing directly. Its contribution is methodological rather than a new astrophysical measurement: a released and reproducible classification pipeline, together with two diagnostics that other groups can apply to their own morphology models. The rule-stability index and the per-class conformal coverage audit are both offered as reusable evaluation tools, and I hope they are of use to the community independently of the particular architecture reported here.</w:t>
      </w:r>
    </w:p>
    <w:p>
      <w:pPr>
        <w:spacing w:after="160" w:line="276"/>
      </w:pPr>
      <w:r>
        <w:rPr>
          <w:sz w:val="22"/>
          <w:szCs w:val="22"/>
        </w:rPr>
        <w:t xml:space="preserve">All code, configurations, random seeds and derived results are released publicly. Every number quoted in the manuscript is written to a machine-readable results file by the evaluation stage and checked against a manifest of paper claims at build time, so the reported values can be regenerated from a single command. The manuscript also states its limitations plainly, including the severe class imbalance that bounds conclusions about the two rarest morphologies and the uncontrolled nature of the cross-survey comparison.</w:t>
      </w:r>
    </w:p>
    <w:p>
      <w:pPr>
        <w:spacing w:after="160" w:line="276"/>
      </w:pPr>
      <w:r>
        <w:rPr>
          <w:sz w:val="22"/>
          <w:szCs w:val="22"/>
        </w:rPr>
        <w:t xml:space="preserve">This manuscript is original, has not been published previously, and is not under consideration by any other journal. I am the sole author and declare no competing interests. [ADD IF APPLICABLE: suggested reviewers and any opposed reviewers.]</w:t>
      </w:r>
    </w:p>
    <w:p>
      <w:pPr>
        <w:spacing w:after="320" w:line="276"/>
      </w:pPr>
      <w:r>
        <w:rPr>
          <w:sz w:val="22"/>
          <w:szCs w:val="22"/>
        </w:rPr>
        <w:t xml:space="preserve">Thank you for considering this work.</w:t>
      </w:r>
    </w:p>
    <w:p>
      <w:pPr>
        <w:spacing w:after="480" w:line="276"/>
      </w:pPr>
      <w:r>
        <w:rPr>
          <w:sz w:val="22"/>
          <w:szCs w:val="22"/>
        </w:rPr>
        <w:t xml:space="preserve">Yours sincerely,</w:t>
      </w:r>
    </w:p>
    <w:p>
      <w:pPr>
        <w:spacing w:after="0" w:line="276"/>
      </w:pPr>
      <w:r>
        <w:rPr>
          <w:b/>
          <w:bCs/>
          <w:sz w:val="22"/>
          <w:szCs w:val="22"/>
        </w:rPr>
        <w:t xml:space="preserve">Ram Chand</w:t>
      </w:r>
    </w:p>
    <w:p>
      <w:pPr>
        <w:spacing w:after="0" w:line="276"/>
      </w:pPr>
      <w:r>
        <w:rPr>
          <w:sz w:val="22"/>
          <w:szCs w:val="22"/>
        </w:rPr>
        <w:t xml:space="preserve">Department of Natural Sciences</w:t>
      </w:r>
    </w:p>
    <w:p>
      <w:pPr>
        <w:spacing w:after="160" w:line="276"/>
      </w:pPr>
      <w:r>
        <w:rPr>
          <w:sz w:val="22"/>
          <w:szCs w:val="22"/>
        </w:rPr>
        <w:t xml:space="preserve">The Begum Nusrat Bhutto Women University, Sukkur, Sindh, Pakistan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2026-08-10T07:26:45.310Z</dcterms:created>
  <dcterms:modified xsi:type="dcterms:W3CDTF">2026-08-10T07:26:45.310Z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