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b/>
          <w:bCs/>
          <w:sz w:val="28"/>
          <w:szCs w:val="28"/>
        </w:rPr>
        <w:t xml:space="preserve">Highlights</w:t>
      </w:r>
    </w:p>
    <w:p>
      <w:pPr>
        <w:spacing w:after="160" w:line="276"/>
      </w:pPr>
      <w:r>
        <w:rPr>
          <w:b/>
          <w:bCs/>
          <w:sz w:val="22"/>
          <w:szCs w:val="22"/>
        </w:rPr>
        <w:t xml:space="preserve">Interpretable Machine Learning for Galaxy Morphology: A Calibrated Symbolic Concept Bottleneck, and Why Its Explanations Do Not Transfer Across Surveys</w:t>
      </w:r>
    </w:p>
    <w:p>
      <w:pPr>
        <w:spacing w:after="320" w:line="276"/>
      </w:pPr>
      <w:r>
        <w:rPr>
          <w:i/>
          <w:iCs/>
          <w:sz w:val="22"/>
          <w:szCs w:val="22"/>
        </w:rPr>
        <w:t xml:space="preserve">Ram Chand</w:t>
      </w:r>
    </w:p>
    <w:p>
      <w:pPr>
        <w:pStyle w:val="ListParagraph"/>
        <w:numPr>
          <w:ilvl w:val="0"/>
          <w:numId w:val="2"/>
        </w:numPr>
        <w:spacing w:after="140" w:line="276"/>
      </w:pPr>
      <w:r>
        <w:rPr>
          <w:sz w:val="22"/>
          <w:szCs w:val="22"/>
        </w:rPr>
        <w:t xml:space="preserve">First concept bottleneck model for galaxy morphology classification</w:t>
      </w:r>
    </w:p>
    <w:p>
      <w:pPr>
        <w:pStyle w:val="ListParagraph"/>
        <w:numPr>
          <w:ilvl w:val="0"/>
          <w:numId w:val="2"/>
        </w:numPr>
        <w:spacing w:after="140" w:line="276"/>
      </w:pPr>
      <w:r>
        <w:rPr>
          <w:sz w:val="22"/>
          <w:szCs w:val="22"/>
        </w:rPr>
        <w:t xml:space="preserve">The concept bottleneck costs 0.030 in kappa; the symbolic head adds no further cost</w:t>
      </w:r>
    </w:p>
    <w:p>
      <w:pPr>
        <w:pStyle w:val="ListParagraph"/>
        <w:numPr>
          <w:ilvl w:val="0"/>
          <w:numId w:val="2"/>
        </w:numPr>
        <w:spacing w:after="140" w:line="276"/>
      </w:pPr>
      <w:r>
        <w:rPr>
          <w:sz w:val="22"/>
          <w:szCs w:val="22"/>
        </w:rPr>
        <w:t xml:space="preserve">A 153-node analytic rule set replaces a 15M-parameter network and is printed in full</w:t>
      </w:r>
    </w:p>
    <w:p>
      <w:pPr>
        <w:pStyle w:val="ListParagraph"/>
        <w:numPr>
          <w:ilvl w:val="0"/>
          <w:numId w:val="2"/>
        </w:numPr>
        <w:spacing w:after="140" w:line="276"/>
      </w:pPr>
      <w:r>
        <w:rPr>
          <w:sz w:val="22"/>
          <w:szCs w:val="22"/>
        </w:rPr>
        <w:t xml:space="preserve">Conformal coverage is 0.889 overall but only 0.08 for the rarest class</w:t>
      </w:r>
    </w:p>
    <w:p>
      <w:pPr>
        <w:pStyle w:val="ListParagraph"/>
        <w:numPr>
          <w:ilvl w:val="0"/>
          <w:numId w:val="2"/>
        </w:numPr>
        <w:spacing w:after="140" w:line="276"/>
      </w:pPr>
      <w:r>
        <w:rPr>
          <w:sz w:val="22"/>
          <w:szCs w:val="22"/>
        </w:rPr>
        <w:t xml:space="preserve">Accuracy transfers to Euclid Q1 but the symbolic explanations do not (J = 0.42)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2026-08-10T07:26:45.282Z</dcterms:created>
  <dcterms:modified xsi:type="dcterms:W3CDTF">2026-08-10T07:26:45.293Z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