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255"/>
        <w:tblW w:w="9016" w:type="dxa"/>
        <w:tblBorders>
          <w:top w:val="single" w:sz="4" w:space="0" w:color="A5A5A5" w:themeColor="accent3"/>
          <w:left w:val="none" w:sz="0" w:space="0" w:color="auto"/>
          <w:bottom w:val="single" w:sz="4" w:space="0" w:color="A5A5A5" w:themeColor="accent3"/>
          <w:right w:val="none" w:sz="0" w:space="0" w:color="auto"/>
          <w:insideH w:val="single" w:sz="4" w:space="0" w:color="A5A5A5" w:themeColor="accent3"/>
          <w:insideV w:val="none" w:sz="0" w:space="0" w:color="auto"/>
        </w:tblBorders>
        <w:tblLook w:val="04A0" w:firstRow="1" w:lastRow="0" w:firstColumn="1" w:lastColumn="0" w:noHBand="0" w:noVBand="1"/>
      </w:tblPr>
      <w:tblGrid>
        <w:gridCol w:w="2535"/>
        <w:gridCol w:w="6481"/>
      </w:tblGrid>
      <w:tr w:rsidR="005A7CCC" w14:paraId="5E06B63C" w14:textId="77777777" w:rsidTr="7B53A28E">
        <w:tc>
          <w:tcPr>
            <w:tcW w:w="2535" w:type="dxa"/>
            <w:tcBorders>
              <w:right w:val="single" w:sz="4" w:space="0" w:color="A5A5A5" w:themeColor="accent3"/>
            </w:tcBorders>
          </w:tcPr>
          <w:p w14:paraId="627510C2" w14:textId="4F72DBBE" w:rsidR="005A7CCC" w:rsidRPr="005E43E5" w:rsidRDefault="7B53A28E" w:rsidP="7B53A28E">
            <w:pPr>
              <w:rPr>
                <w:b/>
                <w:bCs/>
              </w:rPr>
            </w:pPr>
            <w:r w:rsidRPr="7B53A28E">
              <w:rPr>
                <w:b/>
                <w:bCs/>
              </w:rPr>
              <w:t>Relevant Backlog Item:</w:t>
            </w:r>
          </w:p>
        </w:tc>
        <w:tc>
          <w:tcPr>
            <w:tcW w:w="6481" w:type="dxa"/>
            <w:tcBorders>
              <w:left w:val="single" w:sz="4" w:space="0" w:color="A5A5A5" w:themeColor="accent3"/>
            </w:tcBorders>
          </w:tcPr>
          <w:p w14:paraId="4010C29C" w14:textId="6674F06F" w:rsidR="005A7CCC" w:rsidRDefault="000B1924" w:rsidP="005A7CCC">
            <w:r>
              <w:t>n/a</w:t>
            </w:r>
          </w:p>
        </w:tc>
      </w:tr>
      <w:tr w:rsidR="005A7CCC" w14:paraId="21294ED3" w14:textId="77777777" w:rsidTr="7B53A28E">
        <w:tc>
          <w:tcPr>
            <w:tcW w:w="2535" w:type="dxa"/>
            <w:tcBorders>
              <w:right w:val="single" w:sz="4" w:space="0" w:color="A5A5A5" w:themeColor="accent3"/>
            </w:tcBorders>
          </w:tcPr>
          <w:p w14:paraId="4289F44A" w14:textId="61536314" w:rsidR="005A7CCC" w:rsidRPr="005E43E5" w:rsidRDefault="7B53A28E" w:rsidP="7B53A28E">
            <w:pPr>
              <w:rPr>
                <w:b/>
                <w:bCs/>
              </w:rPr>
            </w:pPr>
            <w:r w:rsidRPr="7B53A28E">
              <w:rPr>
                <w:b/>
                <w:bCs/>
              </w:rPr>
              <w:t>Relevant Backlog Item ID:</w:t>
            </w:r>
          </w:p>
        </w:tc>
        <w:tc>
          <w:tcPr>
            <w:tcW w:w="6481" w:type="dxa"/>
            <w:tcBorders>
              <w:left w:val="single" w:sz="4" w:space="0" w:color="A5A5A5" w:themeColor="accent3"/>
            </w:tcBorders>
          </w:tcPr>
          <w:p w14:paraId="416D8237" w14:textId="7F556104" w:rsidR="005A7CCC" w:rsidRDefault="000B1924" w:rsidP="005A7CCC">
            <w:r>
              <w:t>n/a</w:t>
            </w:r>
          </w:p>
        </w:tc>
      </w:tr>
      <w:tr w:rsidR="005A7CCC" w14:paraId="08115C98" w14:textId="77777777" w:rsidTr="7B53A28E">
        <w:tc>
          <w:tcPr>
            <w:tcW w:w="2535" w:type="dxa"/>
            <w:tcBorders>
              <w:right w:val="single" w:sz="4" w:space="0" w:color="A5A5A5" w:themeColor="accent3"/>
            </w:tcBorders>
          </w:tcPr>
          <w:p w14:paraId="48C1BC22" w14:textId="6C706CA7" w:rsidR="005A7CCC" w:rsidRPr="005E43E5" w:rsidRDefault="005A7CCC" w:rsidP="005A7CCC">
            <w:pPr>
              <w:rPr>
                <w:b/>
              </w:rPr>
            </w:pPr>
            <w:r w:rsidRPr="005E43E5">
              <w:rPr>
                <w:b/>
              </w:rPr>
              <w:t>Date</w:t>
            </w:r>
            <w:r w:rsidR="000B1924">
              <w:rPr>
                <w:b/>
              </w:rPr>
              <w:t xml:space="preserve"> </w:t>
            </w:r>
            <w:r w:rsidR="00172A16">
              <w:rPr>
                <w:b/>
              </w:rPr>
              <w:t>decided</w:t>
            </w:r>
            <w:r>
              <w:rPr>
                <w:b/>
              </w:rPr>
              <w:t>:</w:t>
            </w:r>
          </w:p>
        </w:tc>
        <w:tc>
          <w:tcPr>
            <w:tcW w:w="6481" w:type="dxa"/>
            <w:tcBorders>
              <w:left w:val="single" w:sz="4" w:space="0" w:color="A5A5A5" w:themeColor="accent3"/>
            </w:tcBorders>
          </w:tcPr>
          <w:p w14:paraId="4B5B4921" w14:textId="77777777" w:rsidR="005A7CCC" w:rsidRDefault="005A7CCC" w:rsidP="005A7CCC"/>
        </w:tc>
      </w:tr>
      <w:tr w:rsidR="7B53A28E" w14:paraId="0CA0B5D5" w14:textId="77777777" w:rsidTr="7B53A28E">
        <w:tc>
          <w:tcPr>
            <w:tcW w:w="2535" w:type="dxa"/>
            <w:tcBorders>
              <w:right w:val="single" w:sz="4" w:space="0" w:color="A5A5A5" w:themeColor="accent3"/>
            </w:tcBorders>
          </w:tcPr>
          <w:p w14:paraId="6020F5CA" w14:textId="7304AC62" w:rsidR="7B53A28E" w:rsidRDefault="7B53A28E" w:rsidP="7B53A28E">
            <w:pPr>
              <w:rPr>
                <w:b/>
                <w:bCs/>
              </w:rPr>
            </w:pPr>
            <w:r w:rsidRPr="7B53A28E">
              <w:rPr>
                <w:b/>
                <w:bCs/>
              </w:rPr>
              <w:t>GPAG Decision Page</w:t>
            </w:r>
          </w:p>
        </w:tc>
        <w:tc>
          <w:tcPr>
            <w:tcW w:w="6481" w:type="dxa"/>
            <w:tcBorders>
              <w:left w:val="single" w:sz="4" w:space="0" w:color="A5A5A5" w:themeColor="accent3"/>
            </w:tcBorders>
          </w:tcPr>
          <w:p w14:paraId="47B83E47" w14:textId="115EC1C1" w:rsidR="7B53A28E" w:rsidRDefault="7B53A28E" w:rsidP="7B53A28E"/>
        </w:tc>
      </w:tr>
    </w:tbl>
    <w:p w14:paraId="502E9664" w14:textId="0DDA74B1" w:rsidR="005E43E5" w:rsidRDefault="005E43E5" w:rsidP="005A7CCC">
      <w:pPr>
        <w:pStyle w:val="Heading1"/>
        <w:numPr>
          <w:ilvl w:val="0"/>
          <w:numId w:val="0"/>
        </w:numPr>
        <w:ind w:left="432" w:hanging="432"/>
      </w:pPr>
      <w:r w:rsidRPr="005E43E5">
        <w:t>Platform Architecture Group</w:t>
      </w:r>
      <w:r>
        <w:t xml:space="preserve"> - </w:t>
      </w:r>
      <w:r w:rsidRPr="005E43E5">
        <w:t xml:space="preserve">Architectural </w:t>
      </w:r>
      <w:r w:rsidR="005A7CCC">
        <w:t xml:space="preserve">Design </w:t>
      </w:r>
      <w:r w:rsidRPr="005E43E5">
        <w:t>Decision</w:t>
      </w:r>
    </w:p>
    <w:p w14:paraId="37D0B5C4" w14:textId="1DE117B9" w:rsidR="005A7CCC" w:rsidRPr="005A7CCC" w:rsidRDefault="00172A16" w:rsidP="005A7CCC">
      <w:pPr>
        <w:pStyle w:val="Heading1"/>
        <w:numPr>
          <w:ilvl w:val="0"/>
          <w:numId w:val="0"/>
        </w:numPr>
        <w:ind w:left="432" w:hanging="432"/>
      </w:pPr>
      <w:r>
        <w:t xml:space="preserve">Responding to Invalid </w:t>
      </w:r>
      <w:r w:rsidR="00AC665A">
        <w:t>Claims and Scopes</w:t>
      </w:r>
    </w:p>
    <w:p w14:paraId="5A7FD66C" w14:textId="3C9DCFCA" w:rsidR="00FF0BF5" w:rsidRDefault="00FF0BF5" w:rsidP="005E43E5">
      <w:pPr>
        <w:pStyle w:val="Heading1"/>
      </w:pPr>
      <w:r>
        <w:t>Recommendation</w:t>
      </w:r>
    </w:p>
    <w:p w14:paraId="0D393D9F" w14:textId="0B411B5E" w:rsidR="00FF0BF5" w:rsidRDefault="00FF0BF5" w:rsidP="00FF0BF5">
      <w:r>
        <w:t xml:space="preserve"> </w:t>
      </w:r>
      <w:r w:rsidR="001057A8">
        <w:t>The recommendation is for the Exchange to deal with invalid requests in the following ways:</w:t>
      </w:r>
    </w:p>
    <w:p w14:paraId="52AED3F7" w14:textId="7B79E67C" w:rsidR="00C0472D" w:rsidRDefault="001057A8" w:rsidP="00C0472D">
      <w:pPr>
        <w:pStyle w:val="ListParagraph"/>
        <w:numPr>
          <w:ilvl w:val="0"/>
          <w:numId w:val="4"/>
        </w:numPr>
      </w:pPr>
      <w:r>
        <w:t xml:space="preserve">Where the request for a claim or scope includes claims or scopes not supported by the Exchange, this should be dealt </w:t>
      </w:r>
      <w:r w:rsidR="00C0472D">
        <w:t>with as per s5.5 of the OIDC Core</w:t>
      </w:r>
    </w:p>
    <w:p w14:paraId="0E8C0EDF" w14:textId="201AED60" w:rsidR="00C0472D" w:rsidRDefault="00C0472D" w:rsidP="00C0472D">
      <w:pPr>
        <w:pStyle w:val="ListParagraph"/>
        <w:numPr>
          <w:ilvl w:val="0"/>
          <w:numId w:val="4"/>
        </w:numPr>
      </w:pPr>
      <w:r>
        <w:t>Where the request for a claim or scope includes an attribute from the following attribute sets, this should be dealt with as per s5.5 of the OIDC Core</w:t>
      </w:r>
      <w:r w:rsidR="00574664">
        <w:t>:</w:t>
      </w:r>
    </w:p>
    <w:p w14:paraId="44112F5A" w14:textId="7D4A6DEE" w:rsidR="00574664" w:rsidRDefault="001842F1" w:rsidP="00574664">
      <w:pPr>
        <w:pStyle w:val="ListParagraph"/>
        <w:numPr>
          <w:ilvl w:val="1"/>
          <w:numId w:val="4"/>
        </w:numPr>
      </w:pPr>
      <w:r>
        <w:t>Core</w:t>
      </w:r>
    </w:p>
    <w:p w14:paraId="2B684B88" w14:textId="5BF1E752" w:rsidR="001842F1" w:rsidRDefault="001842F1" w:rsidP="00574664">
      <w:pPr>
        <w:pStyle w:val="ListParagraph"/>
        <w:numPr>
          <w:ilvl w:val="1"/>
          <w:numId w:val="4"/>
        </w:numPr>
      </w:pPr>
      <w:r>
        <w:t>Validated Email</w:t>
      </w:r>
    </w:p>
    <w:p w14:paraId="6A440F73" w14:textId="3096A2BE" w:rsidR="001842F1" w:rsidRDefault="001842F1" w:rsidP="00574664">
      <w:pPr>
        <w:pStyle w:val="ListParagraph"/>
        <w:numPr>
          <w:ilvl w:val="1"/>
          <w:numId w:val="4"/>
        </w:numPr>
      </w:pPr>
      <w:r>
        <w:t>Validated Mobile Phone Number</w:t>
      </w:r>
    </w:p>
    <w:p w14:paraId="1DEE1184" w14:textId="325B3F7B" w:rsidR="001842F1" w:rsidRDefault="001842F1" w:rsidP="00574664">
      <w:pPr>
        <w:pStyle w:val="ListParagraph"/>
        <w:numPr>
          <w:ilvl w:val="1"/>
          <w:numId w:val="4"/>
        </w:numPr>
      </w:pPr>
      <w:r>
        <w:t>Verified Other Names</w:t>
      </w:r>
    </w:p>
    <w:p w14:paraId="719F1D6F" w14:textId="7E98C97C" w:rsidR="001842F1" w:rsidRDefault="001842F1" w:rsidP="00574664">
      <w:pPr>
        <w:pStyle w:val="ListParagraph"/>
        <w:numPr>
          <w:ilvl w:val="1"/>
          <w:numId w:val="4"/>
        </w:numPr>
      </w:pPr>
      <w:r>
        <w:t>Business Authorisations</w:t>
      </w:r>
    </w:p>
    <w:p w14:paraId="4676A231" w14:textId="43B27B21" w:rsidR="001842F1" w:rsidRDefault="001842F1" w:rsidP="001842F1">
      <w:pPr>
        <w:pStyle w:val="ListParagraph"/>
        <w:numPr>
          <w:ilvl w:val="0"/>
          <w:numId w:val="4"/>
        </w:numPr>
      </w:pPr>
      <w:r>
        <w:t>Where the request for a claim or scope includes an attribute from one of the following attribute sets</w:t>
      </w:r>
      <w:r w:rsidR="00692C59">
        <w:t>, and the Relying Party is not authorised to request that attribute, the</w:t>
      </w:r>
      <w:r w:rsidR="00FC66B2">
        <w:t xml:space="preserve"> </w:t>
      </w:r>
      <w:r w:rsidR="007A2C60">
        <w:t xml:space="preserve">Exchange MUST deny the authentication request as per section 4.1.2.1 of [RFC 6749] </w:t>
      </w:r>
      <w:r w:rsidR="001677A3">
        <w:t>using the error code access_denied:</w:t>
      </w:r>
    </w:p>
    <w:p w14:paraId="312A6E51" w14:textId="7EE3E295" w:rsidR="001677A3" w:rsidRDefault="0085597B" w:rsidP="001677A3">
      <w:pPr>
        <w:pStyle w:val="ListParagraph"/>
        <w:numPr>
          <w:ilvl w:val="1"/>
          <w:numId w:val="4"/>
        </w:numPr>
      </w:pPr>
      <w:r>
        <w:t xml:space="preserve">Verified Documents (if they are not </w:t>
      </w:r>
      <w:r w:rsidR="00D62450">
        <w:t xml:space="preserve">a relying party approved to access the attributes requested under section 3.6.1 of the </w:t>
      </w:r>
      <w:r w:rsidR="00D62450">
        <w:rPr>
          <w:i/>
          <w:iCs/>
        </w:rPr>
        <w:t>TDIF: 05 – Role Requirements</w:t>
      </w:r>
      <w:r w:rsidR="00D62450">
        <w:t>)</w:t>
      </w:r>
    </w:p>
    <w:p w14:paraId="6F3AF7BE" w14:textId="22AAEDEB" w:rsidR="008252B9" w:rsidRDefault="00601BB7" w:rsidP="008252B9">
      <w:pPr>
        <w:pStyle w:val="ListParagraph"/>
        <w:numPr>
          <w:ilvl w:val="1"/>
          <w:numId w:val="4"/>
        </w:numPr>
      </w:pPr>
      <w:r>
        <w:t>myGov Link (if the relying party is not a myGov member service)</w:t>
      </w:r>
    </w:p>
    <w:p w14:paraId="1276274B" w14:textId="34937422" w:rsidR="00B92451" w:rsidRPr="00FF0BF5" w:rsidRDefault="00B92451" w:rsidP="00B92451">
      <w:r>
        <w:t xml:space="preserve">It is also recommended that Relying Parties do not need prior approval to send a request for Business authorisations, and any of the other attribute sets described above in list item 2. </w:t>
      </w:r>
    </w:p>
    <w:p w14:paraId="105250B9" w14:textId="0D74140E" w:rsidR="005E43E5" w:rsidRDefault="00FF0BF5" w:rsidP="005E43E5">
      <w:pPr>
        <w:pStyle w:val="Heading1"/>
      </w:pPr>
      <w:r>
        <w:t>Background</w:t>
      </w:r>
    </w:p>
    <w:p w14:paraId="30CEBE7F" w14:textId="2AFFCED0" w:rsidR="00FF0BF5" w:rsidRPr="00FF0BF5" w:rsidRDefault="00386EBD" w:rsidP="00FF0BF5">
      <w:r>
        <w:t xml:space="preserve">The TDIF did not provide any guidance on </w:t>
      </w:r>
      <w:r w:rsidR="00AC665A">
        <w:t>what to do if an invalid request for a scope or claim was received by the Exchange. Services Australia requested guidance on this matter in an email dated</w:t>
      </w:r>
      <w:r w:rsidR="005B73D1">
        <w:t xml:space="preserve"> 29/01/2020. </w:t>
      </w:r>
    </w:p>
    <w:p w14:paraId="0D7552E2" w14:textId="71D78D50" w:rsidR="7B53A28E" w:rsidRDefault="7B53A28E" w:rsidP="00BC624D">
      <w:pPr>
        <w:pStyle w:val="Heading1"/>
      </w:pPr>
      <w:r>
        <w:t>Recommended Option</w:t>
      </w:r>
    </w:p>
    <w:p w14:paraId="290A5558" w14:textId="0E009402" w:rsidR="7B53A28E" w:rsidRDefault="7B53A28E" w:rsidP="7B53A28E">
      <w:pPr>
        <w:pStyle w:val="Heading2"/>
      </w:pPr>
      <w:r w:rsidRPr="7B53A28E">
        <w:t>Design</w:t>
      </w:r>
    </w:p>
    <w:p w14:paraId="3CA7B19B" w14:textId="77777777" w:rsidR="00E6210A" w:rsidRDefault="00E6210A" w:rsidP="00E6210A">
      <w:r>
        <w:t>The recommendation is for the Exchange to deal with invalid requests in the following ways:</w:t>
      </w:r>
    </w:p>
    <w:p w14:paraId="08554D25" w14:textId="77777777" w:rsidR="00E6210A" w:rsidRDefault="00E6210A" w:rsidP="00E6210A">
      <w:pPr>
        <w:pStyle w:val="ListParagraph"/>
        <w:numPr>
          <w:ilvl w:val="0"/>
          <w:numId w:val="5"/>
        </w:numPr>
      </w:pPr>
      <w:r>
        <w:t>Where the request for a claim or scope includes claims or scopes not supported by the Exchange, this should be dealt with as per s5.5 of the OIDC Core</w:t>
      </w:r>
    </w:p>
    <w:p w14:paraId="4B7D4302" w14:textId="329EDA0F" w:rsidR="00E6210A" w:rsidRDefault="00E6210A" w:rsidP="00E6210A">
      <w:pPr>
        <w:pStyle w:val="ListParagraph"/>
        <w:numPr>
          <w:ilvl w:val="0"/>
          <w:numId w:val="5"/>
        </w:numPr>
      </w:pPr>
      <w:r>
        <w:lastRenderedPageBreak/>
        <w:t>Where the request for a claim or scope includes an attribute from the following attribute sets, this should be dealt with as per s5.5 of the OIDC Core, regardless of Relying Party:</w:t>
      </w:r>
    </w:p>
    <w:p w14:paraId="1F8070E8" w14:textId="77777777" w:rsidR="00E6210A" w:rsidRDefault="00E6210A" w:rsidP="00E6210A">
      <w:pPr>
        <w:pStyle w:val="ListParagraph"/>
        <w:numPr>
          <w:ilvl w:val="1"/>
          <w:numId w:val="5"/>
        </w:numPr>
      </w:pPr>
      <w:r>
        <w:t>Core</w:t>
      </w:r>
    </w:p>
    <w:p w14:paraId="1D782B35" w14:textId="77777777" w:rsidR="00E6210A" w:rsidRDefault="00E6210A" w:rsidP="00E6210A">
      <w:pPr>
        <w:pStyle w:val="ListParagraph"/>
        <w:numPr>
          <w:ilvl w:val="1"/>
          <w:numId w:val="5"/>
        </w:numPr>
      </w:pPr>
      <w:r>
        <w:t>Validated Email</w:t>
      </w:r>
    </w:p>
    <w:p w14:paraId="261E4934" w14:textId="77777777" w:rsidR="00E6210A" w:rsidRDefault="00E6210A" w:rsidP="00E6210A">
      <w:pPr>
        <w:pStyle w:val="ListParagraph"/>
        <w:numPr>
          <w:ilvl w:val="1"/>
          <w:numId w:val="5"/>
        </w:numPr>
      </w:pPr>
      <w:r>
        <w:t>Validated Mobile Phone Number</w:t>
      </w:r>
    </w:p>
    <w:p w14:paraId="72EB0529" w14:textId="77777777" w:rsidR="00E6210A" w:rsidRDefault="00E6210A" w:rsidP="00E6210A">
      <w:pPr>
        <w:pStyle w:val="ListParagraph"/>
        <w:numPr>
          <w:ilvl w:val="1"/>
          <w:numId w:val="5"/>
        </w:numPr>
      </w:pPr>
      <w:r>
        <w:t>Verified Other Names</w:t>
      </w:r>
    </w:p>
    <w:p w14:paraId="3D31FBB8" w14:textId="77777777" w:rsidR="00E6210A" w:rsidRDefault="00E6210A" w:rsidP="00E6210A">
      <w:pPr>
        <w:pStyle w:val="ListParagraph"/>
        <w:numPr>
          <w:ilvl w:val="1"/>
          <w:numId w:val="5"/>
        </w:numPr>
      </w:pPr>
      <w:r>
        <w:t>Business Authorisations</w:t>
      </w:r>
    </w:p>
    <w:p w14:paraId="41928534" w14:textId="77777777" w:rsidR="00E6210A" w:rsidRDefault="00E6210A" w:rsidP="00E6210A">
      <w:pPr>
        <w:pStyle w:val="ListParagraph"/>
        <w:numPr>
          <w:ilvl w:val="0"/>
          <w:numId w:val="5"/>
        </w:numPr>
      </w:pPr>
      <w:r>
        <w:t>Where the request for a claim or scope includes an attribute from one of the following attribute sets, and the Relying Party is not authorised to request that attribute, the Exchange MUST deny the authentication request as per section 4.1.2.1 of [RFC 6749] using the error code access_denied:</w:t>
      </w:r>
    </w:p>
    <w:p w14:paraId="2D0D010C" w14:textId="77777777" w:rsidR="00E6210A" w:rsidRDefault="00E6210A" w:rsidP="00E6210A">
      <w:pPr>
        <w:pStyle w:val="ListParagraph"/>
        <w:numPr>
          <w:ilvl w:val="1"/>
          <w:numId w:val="5"/>
        </w:numPr>
      </w:pPr>
      <w:r>
        <w:t xml:space="preserve">Verified Documents (if they are not a relying party approved to access the attributes requested under section 3.6.1 of the </w:t>
      </w:r>
      <w:r>
        <w:rPr>
          <w:i/>
          <w:iCs/>
        </w:rPr>
        <w:t>TDIF: 05 – Role Requirements</w:t>
      </w:r>
      <w:r>
        <w:t>)</w:t>
      </w:r>
    </w:p>
    <w:p w14:paraId="66EDE513" w14:textId="13203CC1" w:rsidR="00E6210A" w:rsidRDefault="00E6210A" w:rsidP="00E6210A">
      <w:pPr>
        <w:pStyle w:val="ListParagraph"/>
        <w:numPr>
          <w:ilvl w:val="1"/>
          <w:numId w:val="5"/>
        </w:numPr>
      </w:pPr>
      <w:r>
        <w:t>myGov Link (if the relying party is not a myGov member service)</w:t>
      </w:r>
    </w:p>
    <w:p w14:paraId="56C780A5" w14:textId="50A9E26B" w:rsidR="00E6210A" w:rsidRDefault="00E6210A" w:rsidP="00E6210A">
      <w:pPr>
        <w:pStyle w:val="Heading3"/>
      </w:pPr>
      <w:r>
        <w:t>TDIF requirements</w:t>
      </w:r>
    </w:p>
    <w:p w14:paraId="205FF2E6" w14:textId="080B9EA9" w:rsidR="00E6210A" w:rsidRDefault="00E6210A" w:rsidP="00E6210A">
      <w:pPr>
        <w:pStyle w:val="Heading4"/>
        <w:rPr>
          <w:i w:val="0"/>
          <w:iCs w:val="0"/>
        </w:rPr>
      </w:pPr>
      <w:r>
        <w:rPr>
          <w:i w:val="0"/>
          <w:iCs w:val="0"/>
        </w:rPr>
        <w:t xml:space="preserve">TDIF: </w:t>
      </w:r>
      <w:r w:rsidR="00EC3490">
        <w:rPr>
          <w:i w:val="0"/>
          <w:iCs w:val="0"/>
        </w:rPr>
        <w:t>0</w:t>
      </w:r>
      <w:r>
        <w:rPr>
          <w:i w:val="0"/>
          <w:iCs w:val="0"/>
        </w:rPr>
        <w:t>6B – OpenID Connect 1.0 Profile</w:t>
      </w:r>
    </w:p>
    <w:p w14:paraId="506AE04C" w14:textId="023F9885" w:rsidR="0002708C" w:rsidRDefault="00E6210A" w:rsidP="0002708C">
      <w:pPr>
        <w:rPr>
          <w:b/>
          <w:bCs/>
        </w:rPr>
      </w:pPr>
      <w:r>
        <w:t>Insert the following section</w:t>
      </w:r>
      <w:r w:rsidR="0002708C">
        <w:t xml:space="preserve"> in the Exchange to Relying Party Profile</w:t>
      </w:r>
      <w:r>
        <w:t>:</w:t>
      </w:r>
      <w:r>
        <w:br/>
      </w:r>
      <w:r w:rsidR="0002708C" w:rsidRPr="0002708C">
        <w:rPr>
          <w:b/>
          <w:bCs/>
        </w:rPr>
        <w:t>Responding to invalid claims</w:t>
      </w:r>
    </w:p>
    <w:p w14:paraId="5CCAD7C5" w14:textId="61C4870B" w:rsidR="000C4185" w:rsidRDefault="000C4185" w:rsidP="005A1A0B">
      <w:pPr>
        <w:ind w:left="720"/>
      </w:pPr>
      <w:r w:rsidRPr="0002708C">
        <w:rPr>
          <w:b/>
          <w:bCs/>
        </w:rPr>
        <w:t>TDIF Req</w:t>
      </w:r>
      <w:r w:rsidRPr="0002708C">
        <w:t>: OIDC</w:t>
      </w:r>
      <w:r w:rsidRPr="0002708C">
        <w:rPr>
          <w:bCs/>
        </w:rPr>
        <w:t>-02-07-1</w:t>
      </w:r>
      <w:r w:rsidR="009820EC">
        <w:rPr>
          <w:bCs/>
        </w:rPr>
        <w:t>3</w:t>
      </w:r>
      <w:r w:rsidRPr="0002708C">
        <w:t xml:space="preserve">; </w:t>
      </w:r>
      <w:r w:rsidRPr="0002708C">
        <w:rPr>
          <w:b/>
          <w:bCs/>
        </w:rPr>
        <w:t>Updated</w:t>
      </w:r>
      <w:r w:rsidRPr="0002708C">
        <w:t xml:space="preserve">: </w:t>
      </w:r>
      <w:r w:rsidR="00AF45B5">
        <w:t>Mar</w:t>
      </w:r>
      <w:r w:rsidRPr="0002708C">
        <w:rPr>
          <w:bCs/>
        </w:rPr>
        <w:t>-19</w:t>
      </w:r>
      <w:r w:rsidRPr="0002708C">
        <w:t xml:space="preserve">; </w:t>
      </w:r>
      <w:r w:rsidRPr="0002708C">
        <w:rPr>
          <w:b/>
          <w:bCs/>
        </w:rPr>
        <w:t>Applicability</w:t>
      </w:r>
      <w:r w:rsidRPr="0002708C">
        <w:t xml:space="preserve">: </w:t>
      </w:r>
      <w:r w:rsidRPr="0002708C">
        <w:rPr>
          <w:bCs/>
        </w:rPr>
        <w:t>X</w:t>
      </w:r>
      <w:r w:rsidRPr="0002708C">
        <w:t xml:space="preserve"> </w:t>
      </w:r>
      <w:r w:rsidRPr="0002708C">
        <w:br/>
      </w:r>
      <w:r w:rsidR="005E605D">
        <w:t>If t</w:t>
      </w:r>
      <w:r w:rsidR="00DC34CE">
        <w:t>he Applicant</w:t>
      </w:r>
      <w:r w:rsidR="005E605D">
        <w:t xml:space="preserve"> receives a request for a</w:t>
      </w:r>
      <w:r w:rsidR="00F00347">
        <w:t xml:space="preserve"> scope or claim for which it can not return a value, it </w:t>
      </w:r>
      <w:r w:rsidRPr="0002708C">
        <w:t xml:space="preserve"> </w:t>
      </w:r>
      <w:r w:rsidRPr="0002708C">
        <w:rPr>
          <w:bCs/>
          <w:u w:val="words"/>
        </w:rPr>
        <w:t>MUST</w:t>
      </w:r>
      <w:r w:rsidRPr="0002708C">
        <w:t xml:space="preserve"> </w:t>
      </w:r>
      <w:r w:rsidR="005A1A0B">
        <w:t>ignore the scopes or claims for which a value can not be returned</w:t>
      </w:r>
      <w:r w:rsidR="005A1A0B">
        <w:t>, subject to TDIF Req: OIDC-02-07-14.</w:t>
      </w:r>
      <w:r w:rsidR="005A1A0B">
        <w:t xml:space="preserve"> See </w:t>
      </w:r>
      <w:r w:rsidR="00DC34CE">
        <w:t xml:space="preserve">s5.5 of the </w:t>
      </w:r>
      <w:r w:rsidR="005A1A0B">
        <w:rPr>
          <w:b/>
          <w:bCs/>
        </w:rPr>
        <w:t>[</w:t>
      </w:r>
      <w:r w:rsidR="00DC34CE" w:rsidRPr="005A1A0B">
        <w:rPr>
          <w:b/>
          <w:bCs/>
        </w:rPr>
        <w:t>O</w:t>
      </w:r>
      <w:r w:rsidR="005A1A0B">
        <w:rPr>
          <w:b/>
          <w:bCs/>
        </w:rPr>
        <w:t>pen</w:t>
      </w:r>
      <w:r w:rsidR="00DC34CE" w:rsidRPr="005A1A0B">
        <w:rPr>
          <w:b/>
          <w:bCs/>
        </w:rPr>
        <w:t>ID</w:t>
      </w:r>
      <w:r w:rsidR="005A1A0B">
        <w:rPr>
          <w:b/>
          <w:bCs/>
        </w:rPr>
        <w:t>.</w:t>
      </w:r>
      <w:r w:rsidR="00DC34CE" w:rsidRPr="005A1A0B">
        <w:rPr>
          <w:b/>
          <w:bCs/>
        </w:rPr>
        <w:t>Core</w:t>
      </w:r>
      <w:r w:rsidR="007025EE">
        <w:rPr>
          <w:b/>
          <w:bCs/>
        </w:rPr>
        <w:t xml:space="preserve">] </w:t>
      </w:r>
      <w:r w:rsidR="007025EE">
        <w:t>for further detail</w:t>
      </w:r>
      <w:bookmarkStart w:id="0" w:name="_GoBack"/>
      <w:bookmarkEnd w:id="0"/>
      <w:r w:rsidR="005A1A0B">
        <w:t xml:space="preserve">. </w:t>
      </w:r>
    </w:p>
    <w:p w14:paraId="2F2BB248" w14:textId="6987E45F" w:rsidR="0002708C" w:rsidRDefault="0002708C" w:rsidP="0002708C">
      <w:pPr>
        <w:ind w:left="720"/>
        <w:rPr>
          <w:b/>
        </w:rPr>
      </w:pPr>
      <w:r w:rsidRPr="0002708C">
        <w:rPr>
          <w:b/>
          <w:bCs/>
        </w:rPr>
        <w:t>TDIF Req</w:t>
      </w:r>
      <w:r w:rsidRPr="0002708C">
        <w:t>: OIDC</w:t>
      </w:r>
      <w:r w:rsidRPr="0002708C">
        <w:rPr>
          <w:bCs/>
        </w:rPr>
        <w:t>-02-07-1</w:t>
      </w:r>
      <w:r w:rsidR="0017177B">
        <w:rPr>
          <w:bCs/>
        </w:rPr>
        <w:t>4</w:t>
      </w:r>
      <w:r w:rsidRPr="0002708C">
        <w:t xml:space="preserve">; </w:t>
      </w:r>
      <w:r w:rsidRPr="0002708C">
        <w:rPr>
          <w:b/>
          <w:bCs/>
        </w:rPr>
        <w:t>Updated</w:t>
      </w:r>
      <w:r w:rsidRPr="0002708C">
        <w:t xml:space="preserve">: </w:t>
      </w:r>
      <w:r w:rsidR="00AF45B5">
        <w:t>Mar</w:t>
      </w:r>
      <w:r w:rsidRPr="0002708C">
        <w:rPr>
          <w:bCs/>
        </w:rPr>
        <w:t>-19</w:t>
      </w:r>
      <w:r w:rsidRPr="0002708C">
        <w:t xml:space="preserve">; </w:t>
      </w:r>
      <w:r w:rsidRPr="0002708C">
        <w:rPr>
          <w:b/>
          <w:bCs/>
        </w:rPr>
        <w:t>Applicability</w:t>
      </w:r>
      <w:r w:rsidRPr="0002708C">
        <w:t xml:space="preserve">: </w:t>
      </w:r>
      <w:r w:rsidRPr="0002708C">
        <w:rPr>
          <w:bCs/>
        </w:rPr>
        <w:t>X</w:t>
      </w:r>
      <w:r w:rsidRPr="0002708C">
        <w:t xml:space="preserve"> </w:t>
      </w:r>
      <w:r w:rsidRPr="0002708C">
        <w:br/>
        <w:t xml:space="preserve">The Applicant </w:t>
      </w:r>
      <w:r w:rsidRPr="0002708C">
        <w:rPr>
          <w:bCs/>
          <w:u w:val="words"/>
        </w:rPr>
        <w:t>MUST</w:t>
      </w:r>
      <w:r w:rsidRPr="0002708C">
        <w:t xml:space="preserve"> deny an authentication request as per section 4.1.2.1 of </w:t>
      </w:r>
      <w:r w:rsidRPr="0002708C">
        <w:rPr>
          <w:b/>
          <w:bCs/>
        </w:rPr>
        <w:t xml:space="preserve">[RFC 6749] </w:t>
      </w:r>
      <w:r w:rsidRPr="0002708C">
        <w:t xml:space="preserve">from a Relying Party using the error code access_denied if the Relying Party requests a claim or scope it is not authorised to request, as defined in section 2.3 of the </w:t>
      </w:r>
      <w:r w:rsidRPr="0002708C">
        <w:rPr>
          <w:b/>
        </w:rPr>
        <w:t>[TDIF.Attr].</w:t>
      </w:r>
    </w:p>
    <w:p w14:paraId="297641C9" w14:textId="20EC4C9C" w:rsidR="00E6210A" w:rsidRDefault="007B1CFD" w:rsidP="007B1CFD">
      <w:pPr>
        <w:pStyle w:val="Heading4"/>
        <w:rPr>
          <w:i w:val="0"/>
          <w:iCs w:val="0"/>
        </w:rPr>
      </w:pPr>
      <w:r w:rsidRPr="00BC624D">
        <w:rPr>
          <w:i w:val="0"/>
          <w:iCs w:val="0"/>
        </w:rPr>
        <w:t>TDIF: Attribute Profile</w:t>
      </w:r>
    </w:p>
    <w:p w14:paraId="2443AF66" w14:textId="36EC28D2" w:rsidR="0017177B" w:rsidRPr="0017177B" w:rsidRDefault="0017177B" w:rsidP="0017177B">
      <w:r>
        <w:t xml:space="preserve">The attribute Profile to be updated </w:t>
      </w:r>
      <w:r w:rsidR="00EC3490">
        <w:t>with the following table</w:t>
      </w:r>
      <w:r w:rsidR="00037D57">
        <w:t xml:space="preserve">, in section 2.3 of the Attribute Profile. </w:t>
      </w:r>
    </w:p>
    <w:p w14:paraId="124B77EB" w14:textId="77777777" w:rsidR="00F31A82" w:rsidRPr="00B717DE" w:rsidRDefault="00F31A82" w:rsidP="00F31A82">
      <w:pPr>
        <w:keepNext/>
        <w:suppressAutoHyphens/>
        <w:spacing w:before="480" w:after="80" w:line="160" w:lineRule="atLeast"/>
        <w:rPr>
          <w:rFonts w:ascii="Helvetica" w:hAnsi="Helvetica"/>
        </w:rPr>
      </w:pPr>
      <w:r w:rsidRPr="00B717DE">
        <w:rPr>
          <w:rFonts w:ascii="Helvetica" w:hAnsi="Helvetica"/>
          <w:b/>
        </w:rPr>
        <w:t xml:space="preserve">Table </w:t>
      </w:r>
      <w:r w:rsidRPr="00B717DE">
        <w:rPr>
          <w:rFonts w:ascii="Helvetica" w:hAnsi="Helvetica"/>
          <w:b/>
        </w:rPr>
        <w:fldChar w:fldCharType="begin"/>
      </w:r>
      <w:r w:rsidRPr="00B717DE">
        <w:rPr>
          <w:rFonts w:ascii="Helvetica" w:hAnsi="Helvetica"/>
          <w:b/>
        </w:rPr>
        <w:instrText xml:space="preserve"> SEQ Table \* ARABIC </w:instrText>
      </w:r>
      <w:r w:rsidRPr="00B717DE">
        <w:rPr>
          <w:rFonts w:ascii="Helvetica" w:hAnsi="Helvetica"/>
          <w:b/>
        </w:rPr>
        <w:fldChar w:fldCharType="separate"/>
      </w:r>
      <w:r>
        <w:rPr>
          <w:rFonts w:ascii="Helvetica" w:hAnsi="Helvetica"/>
          <w:b/>
          <w:noProof/>
        </w:rPr>
        <w:t>2</w:t>
      </w:r>
      <w:r w:rsidRPr="00B717DE">
        <w:rPr>
          <w:rFonts w:ascii="Helvetica" w:hAnsi="Helvetica"/>
          <w:b/>
        </w:rPr>
        <w:fldChar w:fldCharType="end"/>
      </w:r>
      <w:r w:rsidRPr="00B717DE">
        <w:rPr>
          <w:rFonts w:ascii="Helvetica" w:hAnsi="Helvetica"/>
        </w:rPr>
        <w:t>: Trust Framework attribute sharing policies.</w:t>
      </w:r>
    </w:p>
    <w:tbl>
      <w:tblPr>
        <w:tblStyle w:val="TableGrid"/>
        <w:tblW w:w="8926" w:type="dxa"/>
        <w:tblLayout w:type="fixed"/>
        <w:tblLook w:val="0420" w:firstRow="1" w:lastRow="0" w:firstColumn="0" w:lastColumn="0" w:noHBand="0" w:noVBand="1"/>
        <w:tblCaption w:val="Attribute Sharing Policies"/>
        <w:tblDescription w:val="For each Attribute Set this table lists the consent trequirments, and any additonal policy requirements"/>
      </w:tblPr>
      <w:tblGrid>
        <w:gridCol w:w="2689"/>
        <w:gridCol w:w="6237"/>
      </w:tblGrid>
      <w:tr w:rsidR="00F31A82" w:rsidRPr="003A0F2A" w14:paraId="13FEFBAA" w14:textId="77777777" w:rsidTr="00291D24">
        <w:trPr>
          <w:tblHeader/>
        </w:trPr>
        <w:tc>
          <w:tcPr>
            <w:tcW w:w="2689" w:type="dxa"/>
            <w:shd w:val="clear" w:color="auto" w:fill="BDD6EE" w:themeFill="accent1" w:themeFillTint="66"/>
          </w:tcPr>
          <w:p w14:paraId="74443A39" w14:textId="77777777" w:rsidR="00F31A82" w:rsidRPr="003A0F2A" w:rsidRDefault="00F31A82" w:rsidP="00291D24">
            <w:pPr>
              <w:rPr>
                <w:rFonts w:ascii="Helvetica" w:eastAsia="Times New Roman" w:hAnsi="Helvetica"/>
                <w:szCs w:val="36"/>
              </w:rPr>
            </w:pPr>
            <w:r w:rsidRPr="003A0F2A">
              <w:rPr>
                <w:rFonts w:ascii="Helvetica" w:eastAsia="Times New Roman" w:hAnsi="Helvetica"/>
                <w:szCs w:val="36"/>
              </w:rPr>
              <w:t>Attribute Set</w:t>
            </w:r>
          </w:p>
        </w:tc>
        <w:tc>
          <w:tcPr>
            <w:tcW w:w="6237" w:type="dxa"/>
            <w:shd w:val="clear" w:color="auto" w:fill="BDD6EE" w:themeFill="accent1" w:themeFillTint="66"/>
          </w:tcPr>
          <w:p w14:paraId="787AA453" w14:textId="77777777" w:rsidR="00F31A82" w:rsidRPr="003A0F2A" w:rsidRDefault="00F31A82" w:rsidP="00291D24">
            <w:pPr>
              <w:rPr>
                <w:rFonts w:ascii="Helvetica" w:eastAsia="Times New Roman" w:hAnsi="Helvetica"/>
                <w:szCs w:val="36"/>
              </w:rPr>
            </w:pPr>
            <w:r>
              <w:rPr>
                <w:rFonts w:ascii="Helvetica" w:eastAsia="Times New Roman" w:hAnsi="Helvetica"/>
                <w:szCs w:val="36"/>
              </w:rPr>
              <w:t>Relying Parties authorized to request</w:t>
            </w:r>
          </w:p>
        </w:tc>
      </w:tr>
      <w:tr w:rsidR="00F31A82" w:rsidRPr="003A0F2A" w14:paraId="40427BBF" w14:textId="77777777" w:rsidTr="00291D24">
        <w:tc>
          <w:tcPr>
            <w:tcW w:w="2689" w:type="dxa"/>
          </w:tcPr>
          <w:p w14:paraId="380977CF" w14:textId="77777777" w:rsidR="00F31A82" w:rsidRPr="003A0F2A" w:rsidRDefault="00F31A82" w:rsidP="00291D24">
            <w:pPr>
              <w:rPr>
                <w:rFonts w:ascii="Helvetica" w:eastAsia="Times New Roman" w:hAnsi="Helvetica"/>
                <w:b/>
                <w:szCs w:val="36"/>
              </w:rPr>
            </w:pPr>
            <w:r w:rsidRPr="003A0F2A">
              <w:rPr>
                <w:rFonts w:ascii="Helvetica" w:eastAsia="Times New Roman" w:hAnsi="Helvetica"/>
                <w:szCs w:val="36"/>
              </w:rPr>
              <w:t>Core</w:t>
            </w:r>
          </w:p>
        </w:tc>
        <w:tc>
          <w:tcPr>
            <w:tcW w:w="6237" w:type="dxa"/>
          </w:tcPr>
          <w:p w14:paraId="5E460BE0" w14:textId="77777777" w:rsidR="00F31A82" w:rsidRPr="003A0F2A" w:rsidRDefault="00F31A82" w:rsidP="00291D24">
            <w:pPr>
              <w:rPr>
                <w:rFonts w:ascii="Helvetica" w:eastAsia="Times New Roman" w:hAnsi="Helvetica"/>
                <w:b/>
                <w:szCs w:val="36"/>
              </w:rPr>
            </w:pPr>
            <w:r>
              <w:rPr>
                <w:rFonts w:ascii="Helvetica" w:eastAsia="Times New Roman" w:hAnsi="Helvetica"/>
                <w:szCs w:val="36"/>
              </w:rPr>
              <w:t>All</w:t>
            </w:r>
          </w:p>
        </w:tc>
      </w:tr>
      <w:tr w:rsidR="00F31A82" w:rsidRPr="003A0F2A" w14:paraId="1D8A9620" w14:textId="77777777" w:rsidTr="00291D24">
        <w:tc>
          <w:tcPr>
            <w:tcW w:w="2689" w:type="dxa"/>
          </w:tcPr>
          <w:p w14:paraId="51923364" w14:textId="77777777" w:rsidR="00F31A82" w:rsidRPr="003A0F2A" w:rsidRDefault="00F31A82" w:rsidP="00291D24">
            <w:pPr>
              <w:rPr>
                <w:rFonts w:ascii="Helvetica" w:eastAsia="Times New Roman" w:hAnsi="Helvetica"/>
                <w:b/>
                <w:szCs w:val="36"/>
              </w:rPr>
            </w:pPr>
            <w:r w:rsidRPr="003A0F2A">
              <w:rPr>
                <w:rFonts w:ascii="Helvetica" w:eastAsia="Times New Roman" w:hAnsi="Helvetica"/>
                <w:szCs w:val="36"/>
              </w:rPr>
              <w:t>Validated Email</w:t>
            </w:r>
          </w:p>
        </w:tc>
        <w:tc>
          <w:tcPr>
            <w:tcW w:w="6237" w:type="dxa"/>
          </w:tcPr>
          <w:p w14:paraId="70CA5778" w14:textId="77777777" w:rsidR="00F31A82" w:rsidRPr="003A0F2A" w:rsidRDefault="00F31A82" w:rsidP="00291D24">
            <w:pPr>
              <w:rPr>
                <w:rFonts w:ascii="Helvetica" w:eastAsia="Times New Roman" w:hAnsi="Helvetica"/>
                <w:b/>
                <w:szCs w:val="36"/>
              </w:rPr>
            </w:pPr>
            <w:r>
              <w:rPr>
                <w:rFonts w:ascii="Helvetica" w:eastAsia="Times New Roman" w:hAnsi="Helvetica"/>
                <w:szCs w:val="36"/>
              </w:rPr>
              <w:t>All</w:t>
            </w:r>
          </w:p>
        </w:tc>
      </w:tr>
      <w:tr w:rsidR="00F31A82" w:rsidRPr="003A0F2A" w14:paraId="48B38F8A" w14:textId="77777777" w:rsidTr="00291D24">
        <w:tc>
          <w:tcPr>
            <w:tcW w:w="2689" w:type="dxa"/>
          </w:tcPr>
          <w:p w14:paraId="68AE0318" w14:textId="77777777" w:rsidR="00F31A82" w:rsidRPr="003A0F2A" w:rsidRDefault="00F31A82" w:rsidP="00291D24">
            <w:pPr>
              <w:rPr>
                <w:rFonts w:ascii="Helvetica" w:eastAsia="Times New Roman" w:hAnsi="Helvetica"/>
                <w:b/>
                <w:szCs w:val="36"/>
              </w:rPr>
            </w:pPr>
            <w:r w:rsidRPr="003A0F2A">
              <w:rPr>
                <w:rFonts w:ascii="Helvetica" w:eastAsia="Times New Roman" w:hAnsi="Helvetica"/>
                <w:szCs w:val="36"/>
              </w:rPr>
              <w:t>Validated Mobile Phone Number</w:t>
            </w:r>
          </w:p>
        </w:tc>
        <w:tc>
          <w:tcPr>
            <w:tcW w:w="6237" w:type="dxa"/>
          </w:tcPr>
          <w:p w14:paraId="76B995C5" w14:textId="77777777" w:rsidR="00F31A82" w:rsidRPr="003A0F2A" w:rsidRDefault="00F31A82" w:rsidP="00291D24">
            <w:pPr>
              <w:rPr>
                <w:rFonts w:ascii="Helvetica" w:eastAsia="Times New Roman" w:hAnsi="Helvetica"/>
                <w:b/>
                <w:szCs w:val="36"/>
              </w:rPr>
            </w:pPr>
            <w:r>
              <w:rPr>
                <w:rFonts w:ascii="Helvetica" w:eastAsia="Times New Roman" w:hAnsi="Helvetica"/>
                <w:szCs w:val="36"/>
              </w:rPr>
              <w:t>All</w:t>
            </w:r>
          </w:p>
        </w:tc>
      </w:tr>
      <w:tr w:rsidR="00F31A82" w:rsidRPr="003A0F2A" w14:paraId="3C35B07B" w14:textId="77777777" w:rsidTr="00291D24">
        <w:tc>
          <w:tcPr>
            <w:tcW w:w="2689" w:type="dxa"/>
          </w:tcPr>
          <w:p w14:paraId="2B968D68" w14:textId="77777777" w:rsidR="00F31A82" w:rsidRPr="003A0F2A" w:rsidRDefault="00F31A82" w:rsidP="00291D24">
            <w:pPr>
              <w:rPr>
                <w:rFonts w:ascii="Helvetica" w:eastAsia="Times New Roman" w:hAnsi="Helvetica"/>
                <w:szCs w:val="36"/>
              </w:rPr>
            </w:pPr>
            <w:r w:rsidRPr="003A0F2A">
              <w:rPr>
                <w:rFonts w:ascii="Helvetica" w:eastAsia="Times New Roman" w:hAnsi="Helvetica"/>
                <w:szCs w:val="36"/>
              </w:rPr>
              <w:t>Verified Other Names</w:t>
            </w:r>
          </w:p>
        </w:tc>
        <w:tc>
          <w:tcPr>
            <w:tcW w:w="6237" w:type="dxa"/>
          </w:tcPr>
          <w:p w14:paraId="49BB9450" w14:textId="77777777" w:rsidR="00F31A82" w:rsidRPr="003A0F2A" w:rsidRDefault="00F31A82" w:rsidP="00291D24">
            <w:pPr>
              <w:rPr>
                <w:rFonts w:ascii="Helvetica" w:eastAsia="Times New Roman" w:hAnsi="Helvetica"/>
                <w:szCs w:val="36"/>
              </w:rPr>
            </w:pPr>
            <w:r>
              <w:rPr>
                <w:rFonts w:ascii="Helvetica" w:eastAsia="Times New Roman" w:hAnsi="Helvetica"/>
                <w:szCs w:val="36"/>
              </w:rPr>
              <w:t>All</w:t>
            </w:r>
          </w:p>
        </w:tc>
      </w:tr>
      <w:tr w:rsidR="00F31A82" w:rsidRPr="003A0F2A" w14:paraId="1A7CF496" w14:textId="77777777" w:rsidTr="00291D24">
        <w:tc>
          <w:tcPr>
            <w:tcW w:w="2689" w:type="dxa"/>
          </w:tcPr>
          <w:p w14:paraId="72C03C57" w14:textId="77777777" w:rsidR="00F31A82" w:rsidRPr="003A0F2A" w:rsidRDefault="00F31A82" w:rsidP="00291D24">
            <w:pPr>
              <w:rPr>
                <w:rFonts w:ascii="Helvetica" w:eastAsia="Times New Roman" w:hAnsi="Helvetica"/>
                <w:szCs w:val="36"/>
              </w:rPr>
            </w:pPr>
            <w:r w:rsidRPr="003A0F2A">
              <w:rPr>
                <w:rFonts w:ascii="Helvetica" w:eastAsia="Times New Roman" w:hAnsi="Helvetica"/>
                <w:szCs w:val="36"/>
              </w:rPr>
              <w:t>Verified Documents</w:t>
            </w:r>
          </w:p>
        </w:tc>
        <w:tc>
          <w:tcPr>
            <w:tcW w:w="6237" w:type="dxa"/>
          </w:tcPr>
          <w:p w14:paraId="53D7D7C1" w14:textId="77777777" w:rsidR="00F31A82" w:rsidRPr="003A0F2A" w:rsidRDefault="00F31A82" w:rsidP="00291D24">
            <w:pPr>
              <w:rPr>
                <w:rFonts w:ascii="Helvetica" w:eastAsia="Times New Roman" w:hAnsi="Helvetica"/>
                <w:szCs w:val="36"/>
              </w:rPr>
            </w:pPr>
            <w:r>
              <w:rPr>
                <w:rFonts w:ascii="Helvetica" w:eastAsia="Times New Roman" w:hAnsi="Helvetica"/>
                <w:szCs w:val="36"/>
              </w:rPr>
              <w:t xml:space="preserve">Relying Parties approved to request Verified documents as restricted attributes under section 3.6.1 of the </w:t>
            </w:r>
            <w:r>
              <w:rPr>
                <w:rFonts w:ascii="Helvetica" w:eastAsia="Times New Roman" w:hAnsi="Helvetica"/>
                <w:i/>
                <w:iCs/>
                <w:szCs w:val="36"/>
              </w:rPr>
              <w:t>TDIF: 05 Role Requirements</w:t>
            </w:r>
            <w:r>
              <w:rPr>
                <w:rFonts w:ascii="Helvetica" w:eastAsia="Times New Roman" w:hAnsi="Helvetica"/>
                <w:szCs w:val="36"/>
              </w:rPr>
              <w:t xml:space="preserve">. </w:t>
            </w:r>
          </w:p>
        </w:tc>
      </w:tr>
      <w:tr w:rsidR="00F31A82" w:rsidRPr="003A0F2A" w14:paraId="2392557E" w14:textId="77777777" w:rsidTr="00291D24">
        <w:tc>
          <w:tcPr>
            <w:tcW w:w="2689" w:type="dxa"/>
          </w:tcPr>
          <w:p w14:paraId="46BFE06E" w14:textId="77777777" w:rsidR="00F31A82" w:rsidRPr="003A0F2A" w:rsidRDefault="00F31A82" w:rsidP="00291D24">
            <w:pPr>
              <w:rPr>
                <w:rFonts w:ascii="Helvetica" w:eastAsia="Times New Roman" w:hAnsi="Helvetica"/>
                <w:b/>
                <w:szCs w:val="36"/>
              </w:rPr>
            </w:pPr>
            <w:r w:rsidRPr="003A0F2A">
              <w:rPr>
                <w:rFonts w:ascii="Helvetica" w:eastAsia="Times New Roman" w:hAnsi="Helvetica"/>
                <w:szCs w:val="36"/>
              </w:rPr>
              <w:t>Common</w:t>
            </w:r>
          </w:p>
        </w:tc>
        <w:tc>
          <w:tcPr>
            <w:tcW w:w="6237" w:type="dxa"/>
          </w:tcPr>
          <w:p w14:paraId="4A11AFCE" w14:textId="77777777" w:rsidR="00F31A82" w:rsidRPr="003A0F2A" w:rsidRDefault="00F31A82" w:rsidP="00291D24">
            <w:pPr>
              <w:rPr>
                <w:rFonts w:ascii="Helvetica" w:eastAsia="Times New Roman" w:hAnsi="Helvetica"/>
                <w:b/>
                <w:szCs w:val="36"/>
              </w:rPr>
            </w:pPr>
            <w:r w:rsidRPr="003A0F2A">
              <w:rPr>
                <w:rFonts w:ascii="Helvetica" w:eastAsia="Times New Roman" w:hAnsi="Helvetica"/>
                <w:szCs w:val="36"/>
              </w:rPr>
              <w:t xml:space="preserve">Not </w:t>
            </w:r>
            <w:r>
              <w:rPr>
                <w:rFonts w:ascii="Helvetica" w:eastAsia="Times New Roman" w:hAnsi="Helvetica"/>
                <w:szCs w:val="36"/>
              </w:rPr>
              <w:t xml:space="preserve">required. </w:t>
            </w:r>
          </w:p>
        </w:tc>
      </w:tr>
      <w:tr w:rsidR="00F31A82" w:rsidRPr="003A0F2A" w14:paraId="7ECBE88A" w14:textId="77777777" w:rsidTr="00291D24">
        <w:tc>
          <w:tcPr>
            <w:tcW w:w="2689" w:type="dxa"/>
          </w:tcPr>
          <w:p w14:paraId="3FE68C94" w14:textId="77777777" w:rsidR="00F31A82" w:rsidRPr="003A0F2A" w:rsidRDefault="00F31A82" w:rsidP="00291D24">
            <w:pPr>
              <w:rPr>
                <w:rFonts w:ascii="Helvetica" w:eastAsia="Times New Roman" w:hAnsi="Helvetica"/>
                <w:szCs w:val="36"/>
              </w:rPr>
            </w:pPr>
            <w:r w:rsidRPr="003A0F2A">
              <w:rPr>
                <w:rFonts w:ascii="Helvetica" w:eastAsia="Times New Roman" w:hAnsi="Helvetica"/>
                <w:szCs w:val="36"/>
              </w:rPr>
              <w:t>myGov Link</w:t>
            </w:r>
          </w:p>
        </w:tc>
        <w:tc>
          <w:tcPr>
            <w:tcW w:w="6237" w:type="dxa"/>
          </w:tcPr>
          <w:p w14:paraId="0AABE063" w14:textId="77777777" w:rsidR="00F31A82" w:rsidRPr="003A0F2A" w:rsidRDefault="00F31A82" w:rsidP="00291D24">
            <w:pPr>
              <w:rPr>
                <w:rFonts w:ascii="Helvetica" w:eastAsia="Times New Roman" w:hAnsi="Helvetica"/>
                <w:szCs w:val="36"/>
              </w:rPr>
            </w:pPr>
            <w:r>
              <w:rPr>
                <w:rFonts w:ascii="Helvetica" w:eastAsia="Times New Roman" w:hAnsi="Helvetica"/>
                <w:szCs w:val="36"/>
              </w:rPr>
              <w:t>myGov Member Services</w:t>
            </w:r>
          </w:p>
        </w:tc>
      </w:tr>
      <w:tr w:rsidR="00F31A82" w:rsidRPr="003A0F2A" w14:paraId="2B1E1031" w14:textId="77777777" w:rsidTr="00291D24">
        <w:tc>
          <w:tcPr>
            <w:tcW w:w="2689" w:type="dxa"/>
          </w:tcPr>
          <w:p w14:paraId="6FA4E746" w14:textId="77777777" w:rsidR="00F31A82" w:rsidRPr="003A0F2A" w:rsidRDefault="00F31A82" w:rsidP="00291D24">
            <w:pPr>
              <w:rPr>
                <w:rFonts w:ascii="Helvetica" w:eastAsia="Times New Roman" w:hAnsi="Helvetica"/>
                <w:szCs w:val="36"/>
              </w:rPr>
            </w:pPr>
            <w:r>
              <w:rPr>
                <w:rFonts w:ascii="Helvetica" w:eastAsia="Times New Roman" w:hAnsi="Helvetica"/>
                <w:szCs w:val="36"/>
              </w:rPr>
              <w:t>Business Authorisations</w:t>
            </w:r>
          </w:p>
        </w:tc>
        <w:tc>
          <w:tcPr>
            <w:tcW w:w="6237" w:type="dxa"/>
          </w:tcPr>
          <w:p w14:paraId="24494D0F" w14:textId="77777777" w:rsidR="00F31A82" w:rsidRDefault="00F31A82" w:rsidP="00291D24">
            <w:pPr>
              <w:rPr>
                <w:rFonts w:ascii="Helvetica" w:eastAsia="Times New Roman" w:hAnsi="Helvetica"/>
                <w:szCs w:val="36"/>
              </w:rPr>
            </w:pPr>
            <w:r>
              <w:rPr>
                <w:rFonts w:ascii="Helvetica" w:eastAsia="Times New Roman" w:hAnsi="Helvetica"/>
                <w:szCs w:val="36"/>
              </w:rPr>
              <w:t>All</w:t>
            </w:r>
          </w:p>
        </w:tc>
      </w:tr>
    </w:tbl>
    <w:p w14:paraId="466F4FC5" w14:textId="77777777" w:rsidR="007B1CFD" w:rsidRPr="007B1CFD" w:rsidRDefault="007B1CFD" w:rsidP="007B1CFD"/>
    <w:p w14:paraId="3D588140" w14:textId="0801FB42" w:rsidR="7B53A28E" w:rsidRDefault="7B53A28E" w:rsidP="7B53A28E">
      <w:pPr>
        <w:pStyle w:val="Heading2"/>
      </w:pPr>
      <w:r w:rsidRPr="7B53A28E">
        <w:lastRenderedPageBreak/>
        <w:t>Impacts</w:t>
      </w:r>
    </w:p>
    <w:p w14:paraId="04DC894B" w14:textId="5D449FD2" w:rsidR="7B53A28E" w:rsidRDefault="7B53A28E" w:rsidP="7B53A28E">
      <w:r w:rsidRPr="7B53A28E">
        <w:t>Set out the impacts that implementing this decision will have.</w:t>
      </w:r>
    </w:p>
    <w:p w14:paraId="390821F9" w14:textId="439C64BE" w:rsidR="7B53A28E" w:rsidRDefault="7B53A28E" w:rsidP="7B53A28E">
      <w:pPr>
        <w:pStyle w:val="Heading3"/>
      </w:pPr>
      <w:r w:rsidRPr="7B53A28E">
        <w:t>Impact to IDPs</w:t>
      </w:r>
    </w:p>
    <w:p w14:paraId="61D1A6B6" w14:textId="11C7570E" w:rsidR="008068D7" w:rsidRPr="008068D7" w:rsidRDefault="008068D7" w:rsidP="008068D7">
      <w:r>
        <w:t xml:space="preserve">No implementation impact. </w:t>
      </w:r>
    </w:p>
    <w:p w14:paraId="31C6C1D0" w14:textId="27635C66" w:rsidR="7B53A28E" w:rsidRDefault="7B53A28E" w:rsidP="7B53A28E">
      <w:pPr>
        <w:pStyle w:val="Heading3"/>
      </w:pPr>
      <w:r w:rsidRPr="7B53A28E">
        <w:t>Impact to Exchange</w:t>
      </w:r>
    </w:p>
    <w:p w14:paraId="29DC8441" w14:textId="0C953281" w:rsidR="008068D7" w:rsidRPr="008068D7" w:rsidRDefault="008068D7" w:rsidP="008068D7">
      <w:r>
        <w:t xml:space="preserve">Requires exchange to </w:t>
      </w:r>
      <w:r w:rsidR="005700D9">
        <w:t xml:space="preserve">be able to send an error response for the above invalid claims. </w:t>
      </w:r>
    </w:p>
    <w:p w14:paraId="2C6C1B24" w14:textId="152B9D5A" w:rsidR="7B53A28E" w:rsidRDefault="7B53A28E" w:rsidP="7B53A28E">
      <w:pPr>
        <w:pStyle w:val="Heading3"/>
      </w:pPr>
      <w:r w:rsidRPr="7B53A28E">
        <w:t>Impact to Relying Parties</w:t>
      </w:r>
    </w:p>
    <w:p w14:paraId="45404742" w14:textId="6661B2D1" w:rsidR="00023522" w:rsidRPr="00023522" w:rsidRDefault="00023522" w:rsidP="00023522">
      <w:r>
        <w:t xml:space="preserve">Will receive an error code if they make a request for certain attributes they are not authorised to receive. </w:t>
      </w:r>
    </w:p>
    <w:p w14:paraId="4A3A8044" w14:textId="4D15DB29" w:rsidR="7B53A28E" w:rsidRDefault="7B53A28E" w:rsidP="7B53A28E">
      <w:pPr>
        <w:pStyle w:val="Heading3"/>
      </w:pPr>
      <w:r w:rsidRPr="7B53A28E">
        <w:t>Impact on TDIF</w:t>
      </w:r>
    </w:p>
    <w:p w14:paraId="5A858890" w14:textId="23A2B25D" w:rsidR="00023522" w:rsidRPr="00023522" w:rsidRDefault="00023522" w:rsidP="00023522">
      <w:r>
        <w:t xml:space="preserve">Incorporate the Recommended design into both the </w:t>
      </w:r>
      <w:r>
        <w:rPr>
          <w:i/>
          <w:iCs/>
        </w:rPr>
        <w:t>TDIF: 06B – OpenID Connect 1.0 Profile</w:t>
      </w:r>
      <w:r>
        <w:t xml:space="preserve"> and the </w:t>
      </w:r>
      <w:r>
        <w:rPr>
          <w:i/>
          <w:iCs/>
        </w:rPr>
        <w:t>TDIF: Attribute Profile</w:t>
      </w:r>
      <w:r>
        <w:t xml:space="preserve">. </w:t>
      </w:r>
    </w:p>
    <w:p w14:paraId="25491E1E" w14:textId="7C676B36" w:rsidR="7B53A28E" w:rsidRDefault="7B53A28E" w:rsidP="7B53A28E">
      <w:pPr>
        <w:pStyle w:val="Heading1"/>
      </w:pPr>
      <w:r w:rsidRPr="7B53A28E">
        <w:t>Future Work</w:t>
      </w:r>
    </w:p>
    <w:p w14:paraId="077ED84C" w14:textId="0FDE84D8" w:rsidR="0077378B" w:rsidRDefault="0077378B" w:rsidP="0077378B">
      <w:pPr>
        <w:pStyle w:val="Heading2"/>
      </w:pPr>
      <w:r>
        <w:t>DTA</w:t>
      </w:r>
    </w:p>
    <w:p w14:paraId="669AFBD4" w14:textId="476EC474" w:rsidR="0077378B" w:rsidRPr="0077378B" w:rsidRDefault="0077378B" w:rsidP="0077378B">
      <w:r>
        <w:t>The DTA needs to incorporate this decision into the TDIF</w:t>
      </w:r>
      <w:r w:rsidR="00E2232E">
        <w:t xml:space="preserve">. </w:t>
      </w:r>
    </w:p>
    <w:p w14:paraId="6270EDAD" w14:textId="7F737A8A" w:rsidR="00FF0BF5" w:rsidRDefault="0077378B" w:rsidP="0077378B">
      <w:pPr>
        <w:pStyle w:val="Heading2"/>
      </w:pPr>
      <w:r>
        <w:t>Services Australia</w:t>
      </w:r>
      <w:r w:rsidR="7B53A28E" w:rsidRPr="7B53A28E">
        <w:t xml:space="preserve"> </w:t>
      </w:r>
    </w:p>
    <w:p w14:paraId="0C310FA0" w14:textId="5CB2A2B1" w:rsidR="00E2232E" w:rsidRPr="00E2232E" w:rsidRDefault="00E2232E" w:rsidP="00E2232E">
      <w:r>
        <w:t xml:space="preserve">Services Australia will need to build out the ability for the Exchange to reject these requests by March 2021, when they are accredited against TDIF release 4. </w:t>
      </w:r>
      <w:r w:rsidR="006813FD">
        <w:t>This can also be delivered earlier if desired</w:t>
      </w:r>
      <w:r w:rsidR="00104D28">
        <w:t xml:space="preserve"> by Services Australia</w:t>
      </w:r>
      <w:r w:rsidR="006813FD">
        <w:t xml:space="preserve">. </w:t>
      </w:r>
    </w:p>
    <w:p w14:paraId="0767548D" w14:textId="615E4560" w:rsidR="7B53A28E" w:rsidRDefault="7B53A28E" w:rsidP="7B53A28E">
      <w:pPr>
        <w:pStyle w:val="Heading1"/>
      </w:pPr>
      <w:r>
        <w:t>Other Documents Relevant</w:t>
      </w:r>
    </w:p>
    <w:p w14:paraId="0FBD143C" w14:textId="12593DDB" w:rsidR="7B53A28E" w:rsidRDefault="7B53A28E" w:rsidP="7B53A28E">
      <w:r w:rsidRPr="7B53A28E">
        <w:t xml:space="preserve">What other documents are relevant to this decision and where can these be found? Include links if possible. </w:t>
      </w:r>
    </w:p>
    <w:p w14:paraId="17EC11B8" w14:textId="7706567A" w:rsidR="00FF0BF5" w:rsidRDefault="7B53A28E" w:rsidP="00FF0BF5">
      <w:pPr>
        <w:pStyle w:val="Heading1"/>
      </w:pPr>
      <w:r>
        <w:t>Consultation</w:t>
      </w:r>
    </w:p>
    <w:p w14:paraId="4930865F" w14:textId="07D4B456" w:rsidR="00FF0BF5" w:rsidRDefault="00172A16" w:rsidP="00FF0BF5">
      <w:r>
        <w:t>Members of PAG present at following PAG meetings, as recorded in the minutes:</w:t>
      </w:r>
    </w:p>
    <w:p w14:paraId="0616FA92" w14:textId="3D987C97" w:rsidR="00172A16" w:rsidRDefault="00172A16" w:rsidP="00172A16">
      <w:pPr>
        <w:pStyle w:val="ListParagraph"/>
        <w:numPr>
          <w:ilvl w:val="0"/>
          <w:numId w:val="3"/>
        </w:numPr>
      </w:pPr>
      <w:r>
        <w:t>13.02.20</w:t>
      </w:r>
    </w:p>
    <w:p w14:paraId="1DF08187" w14:textId="73170414" w:rsidR="00172A16" w:rsidRPr="00FF0BF5" w:rsidRDefault="00172A16" w:rsidP="00172A16">
      <w:pPr>
        <w:pStyle w:val="ListParagraph"/>
        <w:numPr>
          <w:ilvl w:val="0"/>
          <w:numId w:val="3"/>
        </w:numPr>
      </w:pPr>
      <w:r>
        <w:t>20.02.20</w:t>
      </w:r>
    </w:p>
    <w:sectPr w:rsidR="00172A16" w:rsidRPr="00FF0BF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DABA5" w14:textId="77777777" w:rsidR="009404E6" w:rsidRDefault="009404E6" w:rsidP="009404E6">
      <w:pPr>
        <w:spacing w:after="0" w:line="240" w:lineRule="auto"/>
      </w:pPr>
      <w:r>
        <w:separator/>
      </w:r>
    </w:p>
  </w:endnote>
  <w:endnote w:type="continuationSeparator" w:id="0">
    <w:p w14:paraId="2567C0E4" w14:textId="77777777" w:rsidR="009404E6" w:rsidRDefault="009404E6" w:rsidP="00940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51D9B" w14:textId="77777777" w:rsidR="00A7172E" w:rsidRDefault="00A717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0A256" w14:textId="6C8F4615" w:rsidR="009404E6" w:rsidRDefault="00F83F24">
    <w:pPr>
      <w:pStyle w:val="Footer"/>
    </w:pPr>
    <w:r>
      <w:rPr>
        <w:noProof/>
      </w:rPr>
      <mc:AlternateContent>
        <mc:Choice Requires="wps">
          <w:drawing>
            <wp:anchor distT="0" distB="0" distL="114300" distR="114300" simplePos="0" relativeHeight="251659264" behindDoc="0" locked="0" layoutInCell="0" allowOverlap="1" wp14:anchorId="4F808F43" wp14:editId="12C07D11">
              <wp:simplePos x="0" y="0"/>
              <wp:positionH relativeFrom="page">
                <wp:posOffset>0</wp:posOffset>
              </wp:positionH>
              <wp:positionV relativeFrom="page">
                <wp:posOffset>10234930</wp:posOffset>
              </wp:positionV>
              <wp:extent cx="7560310" cy="266700"/>
              <wp:effectExtent l="0" t="0" r="0" b="0"/>
              <wp:wrapNone/>
              <wp:docPr id="2" name="MSIPCM0b614d04b51dcd955da47a3e" descr="{&quot;HashCode&quot;:-151559802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1B3E2C" w14:textId="23EE0E47" w:rsidR="00F83F24" w:rsidRPr="00F83F24" w:rsidRDefault="00F83F24" w:rsidP="00F83F24">
                          <w:pPr>
                            <w:spacing w:after="0"/>
                            <w:jc w:val="center"/>
                            <w:rPr>
                              <w:rFonts w:ascii="Calibri" w:hAnsi="Calibri" w:cs="Calibri"/>
                              <w:color w:val="A80000"/>
                              <w:sz w:val="24"/>
                            </w:rPr>
                          </w:pPr>
                          <w:r w:rsidRPr="00F83F24">
                            <w:rPr>
                              <w:rFonts w:ascii="Calibri" w:hAnsi="Calibri" w:cs="Calibri"/>
                              <w:color w:val="A80000"/>
                              <w:sz w:val="24"/>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F808F43" id="_x0000_t202" coordsize="21600,21600" o:spt="202" path="m,l,21600r21600,l21600,xe">
              <v:stroke joinstyle="miter"/>
              <v:path gradientshapeok="t" o:connecttype="rect"/>
            </v:shapetype>
            <v:shape id="MSIPCM0b614d04b51dcd955da47a3e" o:spid="_x0000_s1027" type="#_x0000_t202" alt="{&quot;HashCode&quot;:-1515598020,&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" o:allowincell="f" filled="f" stroked="f" strokeweight=".5pt">
              <v:textbox inset=",0,,0">
                <w:txbxContent>
                  <w:p w14:paraId="3F1B3E2C" w14:textId="23EE0E47" w:rsidR="00F83F24" w:rsidRPr="00F83F24" w:rsidRDefault="00F83F24" w:rsidP="00F83F24">
                    <w:pPr>
                      <w:spacing w:after="0"/>
                      <w:jc w:val="center"/>
                      <w:rPr>
                        <w:rFonts w:ascii="Calibri" w:hAnsi="Calibri" w:cs="Calibri"/>
                        <w:color w:val="A80000"/>
                        <w:sz w:val="24"/>
                      </w:rPr>
                    </w:pPr>
                    <w:r w:rsidRPr="00F83F24">
                      <w:rPr>
                        <w:rFonts w:ascii="Calibri" w:hAnsi="Calibri" w:cs="Calibri"/>
                        <w:color w:val="A80000"/>
                        <w:sz w:val="24"/>
                      </w:rPr>
                      <w:t>OFFICIAL</w:t>
                    </w:r>
                  </w:p>
                </w:txbxContent>
              </v:textbox>
              <w10:wrap anchorx="page" anchory="page"/>
            </v:shape>
          </w:pict>
        </mc:Fallback>
      </mc:AlternateContent>
    </w:r>
    <w:r w:rsidR="009404E6">
      <w:tab/>
    </w:r>
    <w:sdt>
      <w:sdtPr>
        <w:id w:val="1858080395"/>
        <w:docPartObj>
          <w:docPartGallery w:val="Page Numbers (Bottom of Page)"/>
          <w:docPartUnique/>
        </w:docPartObj>
      </w:sdtPr>
      <w:sdtEndPr>
        <w:rPr>
          <w:noProof/>
        </w:rPr>
      </w:sdtEndPr>
      <w:sdtContent>
        <w:r w:rsidR="009404E6">
          <w:fldChar w:fldCharType="begin"/>
        </w:r>
        <w:r w:rsidR="009404E6">
          <w:instrText xml:space="preserve"> PAGE   \* MERGEFORMAT </w:instrText>
        </w:r>
        <w:r w:rsidR="009404E6">
          <w:fldChar w:fldCharType="separate"/>
        </w:r>
        <w:r w:rsidR="005A7CCC">
          <w:rPr>
            <w:noProof/>
          </w:rPr>
          <w:t>1</w:t>
        </w:r>
        <w:r w:rsidR="009404E6">
          <w:rPr>
            <w:noProof/>
          </w:rPr>
          <w:fldChar w:fldCharType="end"/>
        </w:r>
      </w:sdtContent>
    </w:sdt>
  </w:p>
  <w:p w14:paraId="5430AD69" w14:textId="77777777" w:rsidR="009404E6" w:rsidRDefault="009404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C9312" w14:textId="77777777" w:rsidR="00A7172E" w:rsidRDefault="00A71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6200D" w14:textId="77777777" w:rsidR="009404E6" w:rsidRDefault="009404E6" w:rsidP="009404E6">
      <w:pPr>
        <w:spacing w:after="0" w:line="240" w:lineRule="auto"/>
      </w:pPr>
      <w:r>
        <w:separator/>
      </w:r>
    </w:p>
  </w:footnote>
  <w:footnote w:type="continuationSeparator" w:id="0">
    <w:p w14:paraId="5CDEAC47" w14:textId="77777777" w:rsidR="009404E6" w:rsidRDefault="009404E6" w:rsidP="00940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2903F" w14:textId="77777777" w:rsidR="00A7172E" w:rsidRDefault="00A717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18178" w14:textId="2402F4BB" w:rsidR="009404E6" w:rsidRPr="009404E6" w:rsidRDefault="00F83F24" w:rsidP="009404E6">
    <w:pPr>
      <w:pStyle w:val="Header"/>
      <w:rPr>
        <w:color w:val="FF0000"/>
      </w:rPr>
    </w:pPr>
    <w:r>
      <w:rPr>
        <w:noProof/>
      </w:rPr>
      <mc:AlternateContent>
        <mc:Choice Requires="wps">
          <w:drawing>
            <wp:anchor distT="0" distB="0" distL="114300" distR="114300" simplePos="0" relativeHeight="251657216" behindDoc="0" locked="0" layoutInCell="0" allowOverlap="1" wp14:anchorId="20735E63" wp14:editId="1F0943F1">
              <wp:simplePos x="0" y="0"/>
              <wp:positionH relativeFrom="page">
                <wp:posOffset>0</wp:posOffset>
              </wp:positionH>
              <wp:positionV relativeFrom="page">
                <wp:posOffset>190500</wp:posOffset>
              </wp:positionV>
              <wp:extent cx="7560310" cy="266700"/>
              <wp:effectExtent l="0" t="0" r="0" b="0"/>
              <wp:wrapNone/>
              <wp:docPr id="1" name="MSIPCM4428491daad2a34003ac0350" descr="{&quot;HashCode&quot;:-153973558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E3C038" w14:textId="37312B21" w:rsidR="00F83F24" w:rsidRPr="00F83F24" w:rsidRDefault="00F83F24" w:rsidP="00F83F24">
                          <w:pPr>
                            <w:spacing w:after="0"/>
                            <w:jc w:val="center"/>
                            <w:rPr>
                              <w:rFonts w:ascii="Calibri" w:hAnsi="Calibri" w:cs="Calibri"/>
                              <w:color w:val="A80000"/>
                              <w:sz w:val="24"/>
                            </w:rPr>
                          </w:pPr>
                          <w:r w:rsidRPr="00F83F24">
                            <w:rPr>
                              <w:rFonts w:ascii="Calibri" w:hAnsi="Calibri" w:cs="Calibri"/>
                              <w:color w:val="A80000"/>
                              <w:sz w:val="24"/>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0735E63" id="_x0000_t202" coordsize="21600,21600" o:spt="202" path="m,l,21600r21600,l21600,xe">
              <v:stroke joinstyle="miter"/>
              <v:path gradientshapeok="t" o:connecttype="rect"/>
            </v:shapetype>
            <v:shape id="MSIPCM4428491daad2a34003ac0350" o:spid="_x0000_s1026" type="#_x0000_t202" alt="{&quot;HashCode&quot;:-1539735589,&quot;Height&quot;:841.0,&quot;Width&quot;:595.0,&quot;Placement&quot;:&quot;Header&quot;,&quot;Index&quot;:&quot;Primary&quot;,&quot;Section&quot;:1,&quot;Top&quot;:0.0,&quot;Left&quot;:0.0}" style="position:absolute;margin-left:0;margin-top:15pt;width:595.3pt;height:21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" o:allowincell="f" filled="f" stroked="f" strokeweight=".5pt">
              <v:textbox inset=",0,,0">
                <w:txbxContent>
                  <w:p w14:paraId="18E3C038" w14:textId="37312B21" w:rsidR="00F83F24" w:rsidRPr="00F83F24" w:rsidRDefault="00F83F24" w:rsidP="00F83F24">
                    <w:pPr>
                      <w:spacing w:after="0"/>
                      <w:jc w:val="center"/>
                      <w:rPr>
                        <w:rFonts w:ascii="Calibri" w:hAnsi="Calibri" w:cs="Calibri"/>
                        <w:color w:val="A80000"/>
                        <w:sz w:val="24"/>
                      </w:rPr>
                    </w:pPr>
                    <w:r w:rsidRPr="00F83F24">
                      <w:rPr>
                        <w:rFonts w:ascii="Calibri" w:hAnsi="Calibri" w:cs="Calibri"/>
                        <w:color w:val="A80000"/>
                        <w:sz w:val="24"/>
                      </w:rPr>
                      <w:t>OFFICIAL</w:t>
                    </w:r>
                  </w:p>
                </w:txbxContent>
              </v:textbox>
              <w10:wrap anchorx="page" anchory="page"/>
            </v:shape>
          </w:pict>
        </mc:Fallback>
      </mc:AlternateContent>
    </w:r>
    <w:r w:rsidR="009404E6">
      <w:tab/>
    </w:r>
    <w:r w:rsidR="009404E6">
      <w:rPr>
        <w:color w:val="FF0000"/>
      </w:rPr>
      <w:t>Security Classification</w:t>
    </w:r>
  </w:p>
  <w:p w14:paraId="10F0B189" w14:textId="77777777" w:rsidR="009404E6" w:rsidRPr="009404E6" w:rsidRDefault="009404E6" w:rsidP="009404E6">
    <w:pPr>
      <w:pStyle w:val="Header"/>
    </w:pPr>
    <w:r>
      <w:rPr>
        <w:noProof/>
        <w:lang w:eastAsia="en-AU"/>
      </w:rPr>
      <w:drawing>
        <wp:inline distT="0" distB="0" distL="0" distR="0" wp14:anchorId="38935D53" wp14:editId="08701E02">
          <wp:extent cx="5730875" cy="850900"/>
          <wp:effectExtent l="0" t="0" r="3175" b="6350"/>
          <wp:docPr id="5" name="image2.png" descr="template-header.160mm-wide-300dpi.png"/>
          <wp:cNvGraphicFramePr/>
          <a:graphic xmlns:a="http://schemas.openxmlformats.org/drawingml/2006/main">
            <a:graphicData uri="http://schemas.openxmlformats.org/drawingml/2006/picture">
              <pic:pic xmlns:pic="http://schemas.openxmlformats.org/drawingml/2006/picture">
                <pic:nvPicPr>
                  <pic:cNvPr id="1" name="image2.png" descr="template-header.160mm-wide-300dpi.png"/>
                  <pic:cNvPicPr/>
                </pic:nvPicPr>
                <pic:blipFill>
                  <a:blip r:embed="rId1"/>
                  <a:srcRect/>
                  <a:stretch>
                    <a:fillRect/>
                  </a:stretch>
                </pic:blipFill>
                <pic:spPr>
                  <a:xfrm>
                    <a:off x="0" y="0"/>
                    <a:ext cx="5730875" cy="8509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59C30" w14:textId="77777777" w:rsidR="00A7172E" w:rsidRDefault="00A717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1600B"/>
    <w:multiLevelType w:val="multilevel"/>
    <w:tmpl w:val="4CB653B8"/>
    <w:styleLink w:val="GAMultilevelList"/>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21725257"/>
    <w:multiLevelType w:val="hybridMultilevel"/>
    <w:tmpl w:val="273439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854B3B"/>
    <w:multiLevelType w:val="hybridMultilevel"/>
    <w:tmpl w:val="7288466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DC51AD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A975FB3"/>
    <w:multiLevelType w:val="hybridMultilevel"/>
    <w:tmpl w:val="4F1C7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C5C3945"/>
    <w:multiLevelType w:val="hybridMultilevel"/>
    <w:tmpl w:val="7288466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2"/>
  </w:num>
  <w:num w:numId="6">
    <w:abstractNumId w:val="0"/>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4E6"/>
    <w:rsid w:val="00007B27"/>
    <w:rsid w:val="00020C38"/>
    <w:rsid w:val="00023522"/>
    <w:rsid w:val="0002708C"/>
    <w:rsid w:val="00037D57"/>
    <w:rsid w:val="000B1924"/>
    <w:rsid w:val="000C4185"/>
    <w:rsid w:val="000D1133"/>
    <w:rsid w:val="00104D28"/>
    <w:rsid w:val="001057A8"/>
    <w:rsid w:val="001677A3"/>
    <w:rsid w:val="0017177B"/>
    <w:rsid w:val="00172A16"/>
    <w:rsid w:val="001842F1"/>
    <w:rsid w:val="002A1EE4"/>
    <w:rsid w:val="00386EBD"/>
    <w:rsid w:val="005700D9"/>
    <w:rsid w:val="00574664"/>
    <w:rsid w:val="005A1A0B"/>
    <w:rsid w:val="005A7CCC"/>
    <w:rsid w:val="005B18CE"/>
    <w:rsid w:val="005B73D1"/>
    <w:rsid w:val="005E43E5"/>
    <w:rsid w:val="005E533F"/>
    <w:rsid w:val="005E605D"/>
    <w:rsid w:val="00601BB7"/>
    <w:rsid w:val="006813FD"/>
    <w:rsid w:val="00692C59"/>
    <w:rsid w:val="007025EE"/>
    <w:rsid w:val="00770005"/>
    <w:rsid w:val="0077378B"/>
    <w:rsid w:val="007A2C60"/>
    <w:rsid w:val="007B1CFD"/>
    <w:rsid w:val="008068D7"/>
    <w:rsid w:val="008252B9"/>
    <w:rsid w:val="0085597B"/>
    <w:rsid w:val="008B7756"/>
    <w:rsid w:val="009404E6"/>
    <w:rsid w:val="009820EC"/>
    <w:rsid w:val="00A7172E"/>
    <w:rsid w:val="00AC665A"/>
    <w:rsid w:val="00AF45B5"/>
    <w:rsid w:val="00B20AA0"/>
    <w:rsid w:val="00B92451"/>
    <w:rsid w:val="00BC624D"/>
    <w:rsid w:val="00C0472D"/>
    <w:rsid w:val="00C63B15"/>
    <w:rsid w:val="00C74EF0"/>
    <w:rsid w:val="00D11F07"/>
    <w:rsid w:val="00D62450"/>
    <w:rsid w:val="00DC34CE"/>
    <w:rsid w:val="00E2232E"/>
    <w:rsid w:val="00E6210A"/>
    <w:rsid w:val="00EC3490"/>
    <w:rsid w:val="00F00347"/>
    <w:rsid w:val="00F31A82"/>
    <w:rsid w:val="00F5223A"/>
    <w:rsid w:val="00F83F24"/>
    <w:rsid w:val="00FC66B2"/>
    <w:rsid w:val="00FF0BF5"/>
    <w:rsid w:val="7B53A2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93AD4F"/>
  <w15:chartTrackingRefBased/>
  <w15:docId w15:val="{9C71B300-96E5-4FE9-A41B-388B9A0F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185"/>
  </w:style>
  <w:style w:type="paragraph" w:styleId="Heading1">
    <w:name w:val="heading 1"/>
    <w:basedOn w:val="Normal"/>
    <w:next w:val="Normal"/>
    <w:link w:val="Heading1Char"/>
    <w:qFormat/>
    <w:rsid w:val="008B775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8B775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FF0BF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5A7CC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5A7CC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5A7CC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5A7CC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5A7CC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7CC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4E6"/>
  </w:style>
  <w:style w:type="paragraph" w:styleId="Footer">
    <w:name w:val="footer"/>
    <w:basedOn w:val="Normal"/>
    <w:link w:val="FooterChar"/>
    <w:uiPriority w:val="99"/>
    <w:unhideWhenUsed/>
    <w:rsid w:val="00940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4E6"/>
  </w:style>
  <w:style w:type="character" w:customStyle="1" w:styleId="Heading1Char">
    <w:name w:val="Heading 1 Char"/>
    <w:basedOn w:val="DefaultParagraphFont"/>
    <w:link w:val="Heading1"/>
    <w:uiPriority w:val="9"/>
    <w:rsid w:val="008B77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775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B77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7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7756"/>
    <w:pPr>
      <w:ind w:left="720"/>
      <w:contextualSpacing/>
    </w:pPr>
  </w:style>
  <w:style w:type="character" w:styleId="CommentReference">
    <w:name w:val="annotation reference"/>
    <w:basedOn w:val="DefaultParagraphFont"/>
    <w:uiPriority w:val="99"/>
    <w:semiHidden/>
    <w:unhideWhenUsed/>
    <w:rsid w:val="008B7756"/>
    <w:rPr>
      <w:sz w:val="16"/>
      <w:szCs w:val="16"/>
    </w:rPr>
  </w:style>
  <w:style w:type="paragraph" w:styleId="CommentText">
    <w:name w:val="annotation text"/>
    <w:basedOn w:val="Normal"/>
    <w:link w:val="CommentTextChar"/>
    <w:uiPriority w:val="99"/>
    <w:semiHidden/>
    <w:unhideWhenUsed/>
    <w:rsid w:val="008B7756"/>
    <w:pPr>
      <w:spacing w:line="240" w:lineRule="auto"/>
    </w:pPr>
    <w:rPr>
      <w:sz w:val="20"/>
      <w:szCs w:val="20"/>
    </w:rPr>
  </w:style>
  <w:style w:type="character" w:customStyle="1" w:styleId="CommentTextChar">
    <w:name w:val="Comment Text Char"/>
    <w:basedOn w:val="DefaultParagraphFont"/>
    <w:link w:val="CommentText"/>
    <w:uiPriority w:val="99"/>
    <w:semiHidden/>
    <w:rsid w:val="008B7756"/>
    <w:rPr>
      <w:sz w:val="20"/>
      <w:szCs w:val="20"/>
    </w:rPr>
  </w:style>
  <w:style w:type="paragraph" w:customStyle="1" w:styleId="TableParagraph">
    <w:name w:val="Table Paragraph"/>
    <w:basedOn w:val="Normal"/>
    <w:uiPriority w:val="1"/>
    <w:qFormat/>
    <w:rsid w:val="008B7756"/>
    <w:pPr>
      <w:widowControl w:val="0"/>
      <w:autoSpaceDE w:val="0"/>
      <w:autoSpaceDN w:val="0"/>
      <w:spacing w:after="0" w:line="240" w:lineRule="auto"/>
      <w:ind w:left="103"/>
    </w:pPr>
    <w:rPr>
      <w:rFonts w:ascii="Arial" w:eastAsia="Arial" w:hAnsi="Arial" w:cs="Arial"/>
      <w:lang w:val="en-US"/>
    </w:rPr>
  </w:style>
  <w:style w:type="paragraph" w:styleId="BalloonText">
    <w:name w:val="Balloon Text"/>
    <w:basedOn w:val="Normal"/>
    <w:link w:val="BalloonTextChar"/>
    <w:uiPriority w:val="99"/>
    <w:semiHidden/>
    <w:unhideWhenUsed/>
    <w:rsid w:val="008B7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756"/>
    <w:rPr>
      <w:rFonts w:ascii="Segoe UI" w:hAnsi="Segoe UI" w:cs="Segoe UI"/>
      <w:sz w:val="18"/>
      <w:szCs w:val="18"/>
    </w:rPr>
  </w:style>
  <w:style w:type="table" w:styleId="TableGrid">
    <w:name w:val="Table Grid"/>
    <w:basedOn w:val="TableNormal"/>
    <w:uiPriority w:val="39"/>
    <w:rsid w:val="00C63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F0B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7CC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A7C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A7C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A7C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A7C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7CCC"/>
    <w:rPr>
      <w:rFonts w:asciiTheme="majorHAnsi" w:eastAsiaTheme="majorEastAsia" w:hAnsiTheme="majorHAnsi" w:cstheme="majorBidi"/>
      <w:i/>
      <w:iCs/>
      <w:color w:val="272727" w:themeColor="text1" w:themeTint="D8"/>
      <w:sz w:val="21"/>
      <w:szCs w:val="21"/>
    </w:rPr>
  </w:style>
  <w:style w:type="numbering" w:customStyle="1" w:styleId="GAMultilevelList">
    <w:name w:val="GA Multilevel List"/>
    <w:uiPriority w:val="99"/>
    <w:rsid w:val="0002708C"/>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5156854657C4C8C17F597E6F65CC0" ma:contentTypeVersion="9" ma:contentTypeDescription="Create a new document." ma:contentTypeScope="" ma:versionID="cb7febdf416b2194627632d9233d1eea">
  <xsd:schema xmlns:xsd="http://www.w3.org/2001/XMLSchema" xmlns:xs="http://www.w3.org/2001/XMLSchema" xmlns:p="http://schemas.microsoft.com/office/2006/metadata/properties" xmlns:ns3="0f010d8c-b3c0-4ca2-a078-7399a3f19db1" targetNamespace="http://schemas.microsoft.com/office/2006/metadata/properties" ma:root="true" ma:fieldsID="6c072e157ca0c827f3ee1c2c7f76fbb1" ns3:_="">
    <xsd:import namespace="0f010d8c-b3c0-4ca2-a078-7399a3f19d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010d8c-b3c0-4ca2-a078-7399a3f19d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E4752B-A3F5-4A42-ACB8-863CE2549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010d8c-b3c0-4ca2-a078-7399a3f19d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91CA31-9C3D-4047-A0B9-55D4086597C0}">
  <ds:schemaRefs>
    <ds:schemaRef ds:uri="http://schemas.microsoft.com/sharepoint/v3/contenttype/forms"/>
  </ds:schemaRefs>
</ds:datastoreItem>
</file>

<file path=customXml/itemProps3.xml><?xml version="1.0" encoding="utf-8"?>
<ds:datastoreItem xmlns:ds="http://schemas.openxmlformats.org/officeDocument/2006/customXml" ds:itemID="{BB0A4184-B10F-4FD8-BA0B-2A1C1200056C}">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0f010d8c-b3c0-4ca2-a078-7399a3f19db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765</Words>
  <Characters>4366</Characters>
  <Application>Microsoft Office Word</Application>
  <DocSecurity>0</DocSecurity>
  <Lines>36</Lines>
  <Paragraphs>10</Paragraphs>
  <ScaleCrop>false</ScaleCrop>
  <Company>Department of the Prime Minister and Cabinet</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Simon</dc:creator>
  <cp:keywords/>
  <dc:description/>
  <cp:lastModifiedBy>Angus Vos</cp:lastModifiedBy>
  <cp:revision>7</cp:revision>
  <cp:lastPrinted>2018-08-06T03:59:00Z</cp:lastPrinted>
  <dcterms:created xsi:type="dcterms:W3CDTF">2020-02-20T01:52:00Z</dcterms:created>
  <dcterms:modified xsi:type="dcterms:W3CDTF">2020-02-20T04:38:00Z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0x0101001B95156854657C4C8C17F597E6F65CC0</vt:lpwstr>
  </property>
  <property fmtid="{D5CDD505-2E9C-101B-9397-08002B2CF9AE}" pid="3" name="Order">
    <vt:r8>100</vt:r8>
  </property>
  <property fmtid="{D5CDD505-2E9C-101B-9397-08002B2CF9AE}" pid="4" name="MSIP_Label_5b482f89-686c-4423-b970-d4c069cb673b_Enabled">
    <vt:lpwstr>True</vt:lpwstr>
  </property>
  <property fmtid="{D5CDD505-2E9C-101B-9397-08002B2CF9AE}" pid="5" name="MSIP_Label_5b482f89-686c-4423-b970-d4c069cb673b_SiteId">
    <vt:lpwstr>f87adb37-069d-44ab-b352-f6d61ecc6db2</vt:lpwstr>
  </property>
  <property fmtid="{D5CDD505-2E9C-101B-9397-08002B2CF9AE}" pid="6" name="MSIP_Label_5b482f89-686c-4423-b970-d4c069cb673b_Owner">
    <vt:lpwstr>angus.vos@dta.gov.au</vt:lpwstr>
  </property>
  <property fmtid="{D5CDD505-2E9C-101B-9397-08002B2CF9AE}" pid="7" name="MSIP_Label_5b482f89-686c-4423-b970-d4c069cb673b_SetDate">
    <vt:lpwstr>2020-02-19T06:46:58.8540692Z</vt:lpwstr>
  </property>
  <property fmtid="{D5CDD505-2E9C-101B-9397-08002B2CF9AE}" pid="8" name="MSIP_Label_5b482f89-686c-4423-b970-d4c069cb673b_Name">
    <vt:lpwstr>Official</vt:lpwstr>
  </property>
  <property fmtid="{D5CDD505-2E9C-101B-9397-08002B2CF9AE}" pid="9" name="MSIP_Label_5b482f89-686c-4423-b970-d4c069cb673b_Application">
    <vt:lpwstr>Microsoft Azure Information Protection</vt:lpwstr>
  </property>
  <property fmtid="{D5CDD505-2E9C-101B-9397-08002B2CF9AE}" pid="10" name="MSIP_Label_5b482f89-686c-4423-b970-d4c069cb673b_ActionId">
    <vt:lpwstr>7671d332-32ee-4fe8-b7a6-753136df7dae</vt:lpwstr>
  </property>
  <property fmtid="{D5CDD505-2E9C-101B-9397-08002B2CF9AE}" pid="11" name="MSIP_Label_5b482f89-686c-4423-b970-d4c069cb673b_Extended_MSFT_Method">
    <vt:lpwstr>Manual</vt:lpwstr>
  </property>
  <property fmtid="{D5CDD505-2E9C-101B-9397-08002B2CF9AE}" pid="12" name="Sensitivity">
    <vt:lpwstr>Official</vt:lpwstr>
  </property>
</Properties>
</file>