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Annual Award Nomination</w:t>
      </w:r>
    </w:p>
    <w:p>
      <w:pPr>
        <w:spacing w:after="60"/>
        <w:jc w:val="center"/>
      </w:pPr>
      <w:r>
        <w:rPr>
          <w:b/>
          <w:bCs/>
          <w:color w:val="2E5A9C"/>
          <w:sz w:val="24"/>
          <w:szCs w:val="24"/>
        </w:rPr>
        <w:t xml:space="preserve">Detailed Write-Up of Contributions — FY26</w:t>
      </w:r>
    </w:p>
    <w:p>
      <w:pPr>
        <w:spacing w:after="300"/>
        <w:jc w:val="center"/>
      </w:pPr>
      <w:r>
        <w:rPr>
          <w:i/>
          <w:iCs/>
          <w:color w:val="595959"/>
          <w:sz w:val="20"/>
          <w:szCs w:val="20"/>
        </w:rPr>
        <w:t xml:space="preserve">Prepared for annual award nomination review</w:t>
      </w:r>
    </w:p>
    <w:p>
      <w:pPr>
        <w:pStyle w:val="Heading1"/>
        <w:pBdr>
          <w:bottom w:val="single" w:color="2E5A9C" w:sz="6" w:space="4"/>
        </w:pBdr>
        <w:spacing w:after="140" w:before="320"/>
      </w:pPr>
      <w:r>
        <w:rPr>
          <w:b/>
          <w:bCs/>
          <w:color w:val="1F3864"/>
          <w:sz w:val="28"/>
          <w:szCs w:val="28"/>
        </w:rPr>
        <w:t xml:space="preserve">Executive Summary</w:t>
      </w:r>
    </w:p>
    <w:p>
      <w:pPr>
        <w:pStyle w:val="ListParagraph"/>
        <w:numPr>
          <w:ilvl w:val="0"/>
          <w:numId w:val="2"/>
        </w:numPr>
        <w:spacing w:after="100"/>
      </w:pPr>
      <w:r>
        <w:rPr>
          <w:sz w:val="22"/>
          <w:szCs w:val="22"/>
        </w:rPr>
        <w:t xml:space="preserve">Served as Data Architect and senior delivery lead across enterprise Data Lake, LMS, CIS ID, Palantir, RMS, SMT, Veeva, Finance, Clinical Operations, and Planisware initiatives.</w:t>
      </w:r>
    </w:p>
    <w:p>
      <w:pPr>
        <w:pStyle w:val="ListParagraph"/>
        <w:numPr>
          <w:ilvl w:val="0"/>
          <w:numId w:val="2"/>
        </w:numPr>
        <w:spacing w:after="100"/>
      </w:pPr>
      <w:r>
        <w:rPr>
          <w:sz w:val="22"/>
          <w:szCs w:val="22"/>
        </w:rPr>
        <w:t xml:space="preserve">Provided leadership across architecture, development, data modeling, production support, UAT, release management, and stakeholder engagement.</w:t>
      </w:r>
    </w:p>
    <w:p>
      <w:pPr>
        <w:pStyle w:val="ListParagraph"/>
        <w:numPr>
          <w:ilvl w:val="0"/>
          <w:numId w:val="2"/>
        </w:numPr>
        <w:spacing w:after="100"/>
      </w:pPr>
      <w:r>
        <w:rPr>
          <w:sz w:val="22"/>
          <w:szCs w:val="22"/>
        </w:rPr>
        <w:t xml:space="preserve">Successfully delivered strategic data solutions that improved data quality, analytics capability, and operational efficiency.</w:t>
      </w:r>
    </w:p>
    <w:p>
      <w:pPr>
        <w:pStyle w:val="Heading2"/>
        <w:spacing w:after="100" w:before="200"/>
      </w:pPr>
      <w:r>
        <w:rPr>
          <w:b/>
          <w:bCs/>
          <w:color w:val="2E5A9C"/>
          <w:sz w:val="24"/>
          <w:szCs w:val="24"/>
        </w:rPr>
        <w:t xml:space="preserve">Impact Summary</w:t>
      </w:r>
    </w:p>
    <w:p>
      <w:pPr>
        <w:pBdr>
          <w:top w:val="single" w:color="2E5A9C" w:sz="4"/>
          <w:bottom w:val="single" w:color="2E5A9C" w:sz="4"/>
          <w:left w:val="single" w:color="2E5A9C" w:sz="4"/>
          <w:right w:val="single" w:color="2E5A9C" w:sz="4"/>
        </w:pBdr>
        <w:shd w:fill="EEF2F8" w:val="clear"/>
        <w:spacing w:after="200"/>
        <w:ind w:left="200" w:right="200"/>
      </w:pPr>
      <w:r>
        <w:rPr>
          <w:i/>
          <w:iCs/>
          <w:color w:val="1F3864"/>
          <w:sz w:val="22"/>
          <w:szCs w:val="22"/>
        </w:rPr>
        <w:t xml:space="preserve">Over the last year, I successfully delivered and supported 296 work items, including 73 user stories, 21 feature implementations, and 38 critical bug fixes across enterprise Data Lake, LMS, CIS ID, Palantir, Finance, RMS, and Clinical Operations platforms — while leading offshore teams, supporting business stakeholders, and ensuring rapid resolution of production issues.</w:t>
      </w:r>
    </w:p>
    <w:p>
      <w:pPr>
        <w:pStyle w:val="Heading1"/>
        <w:pBdr>
          <w:bottom w:val="single" w:color="2E5A9C" w:sz="6" w:space="4"/>
        </w:pBdr>
        <w:spacing w:after="140" w:before="320"/>
      </w:pPr>
      <w:r>
        <w:rPr>
          <w:b/>
          <w:bCs/>
          <w:color w:val="1F3864"/>
          <w:sz w:val="28"/>
          <w:szCs w:val="28"/>
        </w:rPr>
        <w:t xml:space="preserve">Key Project Contributions</w:t>
      </w:r>
    </w:p>
    <w:p>
      <w:pPr>
        <w:pStyle w:val="ListParagraph"/>
        <w:numPr>
          <w:ilvl w:val="0"/>
          <w:numId w:val="2"/>
        </w:numPr>
        <w:spacing w:after="100"/>
      </w:pPr>
      <w:r>
        <w:rPr>
          <w:sz w:val="22"/>
          <w:szCs w:val="22"/>
        </w:rPr>
        <w:t xml:space="preserve">Led the LMS Databricks Transformation, including bronze-to-gold transformations, dimension and fact model development, deployment, and validation activities.</w:t>
      </w:r>
    </w:p>
    <w:p>
      <w:pPr>
        <w:pStyle w:val="ListParagraph"/>
        <w:numPr>
          <w:ilvl w:val="0"/>
          <w:numId w:val="2"/>
        </w:numPr>
        <w:spacing w:after="100"/>
      </w:pPr>
      <w:r>
        <w:rPr>
          <w:sz w:val="22"/>
          <w:szCs w:val="22"/>
        </w:rPr>
        <w:t xml:space="preserve">Delivered NEO Recon Suite Automation, including reconciliation jobs, optimization, reporting enhancements, and automation improvements.</w:t>
      </w:r>
    </w:p>
    <w:p>
      <w:pPr>
        <w:pStyle w:val="ListParagraph"/>
        <w:numPr>
          <w:ilvl w:val="0"/>
          <w:numId w:val="2"/>
        </w:numPr>
        <w:spacing w:after="100"/>
      </w:pPr>
      <w:r>
        <w:rPr>
          <w:sz w:val="22"/>
          <w:szCs w:val="22"/>
        </w:rPr>
        <w:t xml:space="preserve">Developed and enhanced CIS ID Tool integrations involving scope attributes, PTD/EAC metrics, agreement data, versioning logic, and export frameworks.</w:t>
      </w:r>
    </w:p>
    <w:p>
      <w:pPr>
        <w:pStyle w:val="ListParagraph"/>
        <w:numPr>
          <w:ilvl w:val="0"/>
          <w:numId w:val="2"/>
        </w:numPr>
        <w:spacing w:after="100"/>
      </w:pPr>
      <w:r>
        <w:rPr>
          <w:sz w:val="22"/>
          <w:szCs w:val="22"/>
        </w:rPr>
        <w:t xml:space="preserve">Supported Palantir, RMS, Smartsheet, Veeva, Finance AP/AR, Clinical Operations, and Planisware projects through data engineering and reporting solutions.</w:t>
      </w:r>
    </w:p>
    <w:p>
      <w:pPr>
        <w:pStyle w:val="ListParagraph"/>
        <w:numPr>
          <w:ilvl w:val="0"/>
          <w:numId w:val="2"/>
        </w:numPr>
        <w:spacing w:after="100"/>
      </w:pPr>
      <w:r>
        <w:rPr>
          <w:sz w:val="22"/>
          <w:szCs w:val="22"/>
        </w:rPr>
        <w:t xml:space="preserve">Built and enhanced enterprise views, tables, data pipelines, export layers, and reporting datasets across multiple source systems.</w:t>
      </w:r>
    </w:p>
    <w:p>
      <w:pPr>
        <w:pStyle w:val="Heading2"/>
        <w:spacing w:after="100" w:before="200"/>
      </w:pPr>
      <w:r>
        <w:rPr>
          <w:b/>
          <w:bCs/>
          <w:color w:val="2E5A9C"/>
          <w:sz w:val="24"/>
          <w:szCs w:val="24"/>
        </w:rPr>
        <w:t xml:space="preserve">Case Study: NEO Recon Suite Automation</w:t>
      </w:r>
    </w:p>
    <w:p>
      <w:pPr>
        <w:spacing w:after="160"/>
      </w:pPr>
      <w:r>
        <w:rPr>
          <w:sz w:val="22"/>
          <w:szCs w:val="22"/>
        </w:rPr>
        <w:t xml:space="preserve">The NEO Recon Suite is an end-to-end Databricks automation job that consolidates reconciliation results across Scoping, T&amp;R, Big5, and Staff Allocation comparisons and generates final, styled Excel output files for migration specialist review.</w:t>
      </w:r>
    </w:p>
    <w:p>
      <w:pPr>
        <w:pStyle w:val="ListParagraph"/>
        <w:numPr>
          <w:ilvl w:val="0"/>
          <w:numId w:val="2"/>
        </w:numPr>
        <w:spacing w:after="100"/>
      </w:pPr>
      <w:r>
        <w:rPr>
          <w:sz w:val="22"/>
          <w:szCs w:val="22"/>
        </w:rPr>
        <w:t xml:space="preserve">Automates the download, parsing, and reconciliation of validation Excel files from SharePoint, removing manual copy-paste effort.</w:t>
      </w:r>
    </w:p>
    <w:p>
      <w:pPr>
        <w:pStyle w:val="ListParagraph"/>
        <w:numPr>
          <w:ilvl w:val="0"/>
          <w:numId w:val="2"/>
        </w:numPr>
        <w:spacing w:after="100"/>
      </w:pPr>
      <w:r>
        <w:rPr>
          <w:sz w:val="22"/>
          <w:szCs w:val="22"/>
        </w:rPr>
        <w:t xml:space="preserve">Splits and processes multi-sheet, multi-section, and transposed layouts automatically per study.</w:t>
      </w:r>
    </w:p>
    <w:p>
      <w:pPr>
        <w:pStyle w:val="ListParagraph"/>
        <w:numPr>
          <w:ilvl w:val="0"/>
          <w:numId w:val="2"/>
        </w:numPr>
        <w:spacing w:after="100"/>
      </w:pPr>
      <w:r>
        <w:rPr>
          <w:sz w:val="22"/>
          <w:szCs w:val="22"/>
        </w:rPr>
        <w:t xml:space="preserve">Runs all four comparison dimensions (Scoping, T&amp;R, Big5, Staff Allocation) in parallel, reducing total wall-clock time for a full study validation.</w:t>
      </w:r>
    </w:p>
    <w:p>
      <w:pPr>
        <w:pStyle w:val="ListParagraph"/>
        <w:numPr>
          <w:ilvl w:val="0"/>
          <w:numId w:val="2"/>
        </w:numPr>
        <w:spacing w:after="100"/>
      </w:pPr>
      <w:r>
        <w:rPr>
          <w:sz w:val="22"/>
          <w:szCs w:val="22"/>
        </w:rPr>
        <w:t xml:space="preserve">Produces attribute-level match/mismatch results so specialists can see exactly where NEO2 and PLW data diverge.</w:t>
      </w:r>
    </w:p>
    <w:p>
      <w:pPr>
        <w:pStyle w:val="ListParagraph"/>
        <w:numPr>
          <w:ilvl w:val="0"/>
          <w:numId w:val="2"/>
        </w:numPr>
        <w:spacing w:after="100"/>
      </w:pPr>
      <w:r>
        <w:rPr>
          <w:sz w:val="22"/>
          <w:szCs w:val="22"/>
        </w:rPr>
        <w:t xml:space="preserve">Logs every processed file and sheet for full audit traceability, with isolated failure handling so one comparison task cannot block the others.</w:t>
      </w:r>
    </w:p>
    <w:p>
      <w:pPr>
        <w:pStyle w:val="ListParagraph"/>
        <w:numPr>
          <w:ilvl w:val="0"/>
          <w:numId w:val="2"/>
        </w:numPr>
        <w:spacing w:after="100"/>
      </w:pPr>
      <w:r>
        <w:rPr>
          <w:sz w:val="22"/>
          <w:szCs w:val="22"/>
        </w:rPr>
        <w:t xml:space="preserve">Generates ready-to-review, colour-coded Excel reports suitable for direct use in sign-off meetings.</w:t>
      </w:r>
    </w:p>
    <w:p>
      <w:pPr>
        <w:pStyle w:val="ListParagraph"/>
        <w:numPr>
          <w:ilvl w:val="0"/>
          <w:numId w:val="2"/>
        </w:numPr>
        <w:spacing w:after="100"/>
      </w:pPr>
      <w:r>
        <w:rPr>
          <w:sz w:val="22"/>
          <w:szCs w:val="22"/>
        </w:rPr>
        <w:t xml:space="preserve">Runs on-demand, triggered by the EDL team, with automatic failure notification; recent executions (July 2026) completed successfully in ~13–31 minutes each.</w:t>
      </w:r>
    </w:p>
    <w:p>
      <w:pPr>
        <w:pStyle w:val="Heading1"/>
        <w:pBdr>
          <w:bottom w:val="single" w:color="2E5A9C" w:sz="6" w:space="4"/>
        </w:pBdr>
        <w:spacing w:after="140" w:before="320"/>
      </w:pPr>
      <w:r>
        <w:rPr>
          <w:b/>
          <w:bCs/>
          <w:color w:val="1F3864"/>
          <w:sz w:val="28"/>
          <w:szCs w:val="28"/>
        </w:rPr>
        <w:t xml:space="preserve">Business Value Delivered</w:t>
      </w:r>
    </w:p>
    <w:p>
      <w:pPr>
        <w:pStyle w:val="ListParagraph"/>
        <w:numPr>
          <w:ilvl w:val="0"/>
          <w:numId w:val="2"/>
        </w:numPr>
        <w:spacing w:after="100"/>
      </w:pPr>
      <w:r>
        <w:rPr>
          <w:sz w:val="22"/>
          <w:szCs w:val="22"/>
        </w:rPr>
        <w:t xml:space="preserve">Improved data quality by resolving data discrepancies, count mismatches, duplicate records, transformation defects, and production issues.</w:t>
      </w:r>
    </w:p>
    <w:p>
      <w:pPr>
        <w:pStyle w:val="ListParagraph"/>
        <w:numPr>
          <w:ilvl w:val="0"/>
          <w:numId w:val="2"/>
        </w:numPr>
        <w:spacing w:after="100"/>
      </w:pPr>
      <w:r>
        <w:rPr>
          <w:sz w:val="22"/>
          <w:szCs w:val="22"/>
        </w:rPr>
        <w:t xml:space="preserve">Enabled trusted reporting and analytics through scalable data models and curated business-ready datasets.</w:t>
      </w:r>
    </w:p>
    <w:p>
      <w:pPr>
        <w:pStyle w:val="ListParagraph"/>
        <w:numPr>
          <w:ilvl w:val="0"/>
          <w:numId w:val="2"/>
        </w:numPr>
        <w:spacing w:after="100"/>
      </w:pPr>
      <w:r>
        <w:rPr>
          <w:sz w:val="22"/>
          <w:szCs w:val="22"/>
        </w:rPr>
        <w:t xml:space="preserve">Reduced manual effort through reconciliation automation and process optimization initiatives.</w:t>
      </w:r>
    </w:p>
    <w:p>
      <w:pPr>
        <w:pStyle w:val="ListParagraph"/>
        <w:numPr>
          <w:ilvl w:val="0"/>
          <w:numId w:val="2"/>
        </w:numPr>
        <w:spacing w:after="100"/>
      </w:pPr>
      <w:r>
        <w:rPr>
          <w:sz w:val="22"/>
          <w:szCs w:val="22"/>
        </w:rPr>
        <w:t xml:space="preserve">Accelerated project delivery by translating business requirements into efficient technical solutions.</w:t>
      </w:r>
    </w:p>
    <w:p>
      <w:pPr>
        <w:pStyle w:val="ListParagraph"/>
        <w:numPr>
          <w:ilvl w:val="0"/>
          <w:numId w:val="2"/>
        </w:numPr>
        <w:spacing w:after="100"/>
      </w:pPr>
      <w:r>
        <w:rPr>
          <w:sz w:val="22"/>
          <w:szCs w:val="22"/>
        </w:rPr>
        <w:t xml:space="preserve">Improved stakeholder confidence through robust validation, testing, and post-deployment support.</w:t>
      </w:r>
    </w:p>
    <w:p>
      <w:pPr>
        <w:pStyle w:val="Heading1"/>
        <w:pBdr>
          <w:bottom w:val="single" w:color="2E5A9C" w:sz="6" w:space="4"/>
        </w:pBdr>
        <w:spacing w:after="140" w:before="320"/>
      </w:pPr>
      <w:r>
        <w:rPr>
          <w:b/>
          <w:bCs/>
          <w:color w:val="1F3864"/>
          <w:sz w:val="28"/>
          <w:szCs w:val="28"/>
        </w:rPr>
        <w:t xml:space="preserve">Production Support and Critical Hot Fixes</w:t>
      </w:r>
    </w:p>
    <w:p>
      <w:pPr>
        <w:pStyle w:val="ListParagraph"/>
        <w:numPr>
          <w:ilvl w:val="0"/>
          <w:numId w:val="2"/>
        </w:numPr>
        <w:spacing w:after="100"/>
      </w:pPr>
      <w:r>
        <w:rPr>
          <w:sz w:val="22"/>
          <w:szCs w:val="22"/>
        </w:rPr>
        <w:t xml:space="preserve">Took ownership of critical production incidents and high-priority business issues.</w:t>
      </w:r>
    </w:p>
    <w:p>
      <w:pPr>
        <w:pStyle w:val="ListParagraph"/>
        <w:numPr>
          <w:ilvl w:val="0"/>
          <w:numId w:val="2"/>
        </w:numPr>
        <w:spacing w:after="100"/>
      </w:pPr>
      <w:r>
        <w:rPr>
          <w:sz w:val="22"/>
          <w:szCs w:val="22"/>
        </w:rPr>
        <w:t xml:space="preserve">Analyzed root causes, developed fixes, coordinated testing, and supported production deployments within 4 hours for critical situations.</w:t>
      </w:r>
    </w:p>
    <w:p>
      <w:pPr>
        <w:pStyle w:val="ListParagraph"/>
        <w:numPr>
          <w:ilvl w:val="0"/>
          <w:numId w:val="2"/>
        </w:numPr>
        <w:spacing w:after="100"/>
      </w:pPr>
      <w:r>
        <w:rPr>
          <w:sz w:val="22"/>
          <w:szCs w:val="22"/>
        </w:rPr>
        <w:t xml:space="preserve">Resolved production defects involving data transformations, integrations, reporting outputs, milestone processing, and business-critical datasets.</w:t>
      </w:r>
    </w:p>
    <w:p>
      <w:pPr>
        <w:pStyle w:val="ListParagraph"/>
        <w:numPr>
          <w:ilvl w:val="0"/>
          <w:numId w:val="2"/>
        </w:numPr>
        <w:spacing w:after="100"/>
      </w:pPr>
      <w:r>
        <w:rPr>
          <w:sz w:val="22"/>
          <w:szCs w:val="22"/>
        </w:rPr>
        <w:t xml:space="preserve">Minimized business disruption while maintaining platform stability and service commitments.</w:t>
      </w:r>
    </w:p>
    <w:p>
      <w:pPr>
        <w:pStyle w:val="Heading1"/>
        <w:pBdr>
          <w:bottom w:val="single" w:color="2E5A9C" w:sz="6" w:space="4"/>
        </w:pBdr>
        <w:spacing w:after="140" w:before="320"/>
      </w:pPr>
      <w:r>
        <w:rPr>
          <w:b/>
          <w:bCs/>
          <w:color w:val="1F3864"/>
          <w:sz w:val="28"/>
          <w:szCs w:val="28"/>
        </w:rPr>
        <w:t xml:space="preserve">Business Partnership and Requirement Grooming</w:t>
      </w:r>
    </w:p>
    <w:p>
      <w:pPr>
        <w:pStyle w:val="ListParagraph"/>
        <w:numPr>
          <w:ilvl w:val="0"/>
          <w:numId w:val="2"/>
        </w:numPr>
        <w:spacing w:after="100"/>
      </w:pPr>
      <w:r>
        <w:rPr>
          <w:sz w:val="22"/>
          <w:szCs w:val="22"/>
        </w:rPr>
        <w:t xml:space="preserve">Worked closely with business stakeholders to gather, refine, and groom requirements.</w:t>
      </w:r>
    </w:p>
    <w:p>
      <w:pPr>
        <w:pStyle w:val="ListParagraph"/>
        <w:numPr>
          <w:ilvl w:val="0"/>
          <w:numId w:val="2"/>
        </w:numPr>
        <w:spacing w:after="100"/>
      </w:pPr>
      <w:r>
        <w:rPr>
          <w:sz w:val="22"/>
          <w:szCs w:val="22"/>
        </w:rPr>
        <w:t xml:space="preserve">Provided technical recommendations and solution options to business teams.</w:t>
      </w:r>
    </w:p>
    <w:p>
      <w:pPr>
        <w:pStyle w:val="ListParagraph"/>
        <w:numPr>
          <w:ilvl w:val="0"/>
          <w:numId w:val="2"/>
        </w:numPr>
        <w:spacing w:after="100"/>
      </w:pPr>
      <w:r>
        <w:rPr>
          <w:sz w:val="22"/>
          <w:szCs w:val="22"/>
        </w:rPr>
        <w:t xml:space="preserve">Supported stakeholders by providing required data analysis, data extracts, and SQL queries.</w:t>
      </w:r>
    </w:p>
    <w:p>
      <w:pPr>
        <w:pStyle w:val="ListParagraph"/>
        <w:numPr>
          <w:ilvl w:val="0"/>
          <w:numId w:val="2"/>
        </w:numPr>
        <w:spacing w:after="100"/>
      </w:pPr>
      <w:r>
        <w:rPr>
          <w:sz w:val="22"/>
          <w:szCs w:val="22"/>
        </w:rPr>
        <w:t xml:space="preserve">Acted as a trusted advisor for data lineage, reporting logic, and source-system understanding.</w:t>
      </w:r>
    </w:p>
    <w:p>
      <w:pPr>
        <w:pStyle w:val="Heading1"/>
        <w:pBdr>
          <w:bottom w:val="single" w:color="2E5A9C" w:sz="6" w:space="4"/>
        </w:pBdr>
        <w:spacing w:after="140" w:before="320"/>
      </w:pPr>
      <w:r>
        <w:rPr>
          <w:b/>
          <w:bCs/>
          <w:color w:val="1F3864"/>
          <w:sz w:val="28"/>
          <w:szCs w:val="28"/>
        </w:rPr>
        <w:t xml:space="preserve">UAT Leadership and End-to-End Support</w:t>
      </w:r>
    </w:p>
    <w:p>
      <w:pPr>
        <w:pStyle w:val="ListParagraph"/>
        <w:numPr>
          <w:ilvl w:val="0"/>
          <w:numId w:val="2"/>
        </w:numPr>
        <w:spacing w:after="100"/>
      </w:pPr>
      <w:r>
        <w:rPr>
          <w:sz w:val="22"/>
          <w:szCs w:val="22"/>
        </w:rPr>
        <w:t xml:space="preserve">Provided end-to-end UAT support across multiple source systems and business domains.</w:t>
      </w:r>
    </w:p>
    <w:p>
      <w:pPr>
        <w:pStyle w:val="ListParagraph"/>
        <w:numPr>
          <w:ilvl w:val="0"/>
          <w:numId w:val="2"/>
        </w:numPr>
        <w:spacing w:after="100"/>
      </w:pPr>
      <w:r>
        <w:rPr>
          <w:sz w:val="22"/>
          <w:szCs w:val="22"/>
        </w:rPr>
        <w:t xml:space="preserve">Performed source-to-target validation, reconciliation, defect investigation, and issue resolution.</w:t>
      </w:r>
    </w:p>
    <w:p>
      <w:pPr>
        <w:pStyle w:val="ListParagraph"/>
        <w:numPr>
          <w:ilvl w:val="0"/>
          <w:numId w:val="2"/>
        </w:numPr>
        <w:spacing w:after="100"/>
      </w:pPr>
      <w:r>
        <w:rPr>
          <w:sz w:val="22"/>
          <w:szCs w:val="22"/>
        </w:rPr>
        <w:t xml:space="preserve">Partnered with business users, QA teams, and project stakeholders to ensure successful testing and sign-off.</w:t>
      </w:r>
    </w:p>
    <w:p>
      <w:pPr>
        <w:pStyle w:val="ListParagraph"/>
        <w:numPr>
          <w:ilvl w:val="0"/>
          <w:numId w:val="2"/>
        </w:numPr>
        <w:spacing w:after="100"/>
      </w:pPr>
      <w:r>
        <w:rPr>
          <w:sz w:val="22"/>
          <w:szCs w:val="22"/>
        </w:rPr>
        <w:t xml:space="preserve">Supported LMS, CIS ID, RMS, Palantir, Finance, HR, Veeva, Smartsheet, and Planisware initiatives throughout UAT cycles.</w:t>
      </w:r>
    </w:p>
    <w:p>
      <w:pPr>
        <w:pStyle w:val="Heading1"/>
        <w:pBdr>
          <w:bottom w:val="single" w:color="2E5A9C" w:sz="6" w:space="4"/>
        </w:pBdr>
        <w:spacing w:after="140" w:before="320"/>
      </w:pPr>
      <w:r>
        <w:rPr>
          <w:b/>
          <w:bCs/>
          <w:color w:val="1F3864"/>
          <w:sz w:val="28"/>
          <w:szCs w:val="28"/>
        </w:rPr>
        <w:t xml:space="preserve">Leadership and Offshore Team Management</w:t>
      </w:r>
    </w:p>
    <w:p>
      <w:pPr>
        <w:pStyle w:val="ListParagraph"/>
        <w:numPr>
          <w:ilvl w:val="0"/>
          <w:numId w:val="2"/>
        </w:numPr>
        <w:spacing w:after="100"/>
      </w:pPr>
      <w:r>
        <w:rPr>
          <w:sz w:val="22"/>
          <w:szCs w:val="22"/>
        </w:rPr>
        <w:t xml:space="preserve">Managed offshore development teams by providing detailed requirements and technical guidance.</w:t>
      </w:r>
    </w:p>
    <w:p>
      <w:pPr>
        <w:pStyle w:val="ListParagraph"/>
        <w:numPr>
          <w:ilvl w:val="0"/>
          <w:numId w:val="2"/>
        </w:numPr>
        <w:spacing w:after="100"/>
      </w:pPr>
      <w:r>
        <w:rPr>
          <w:sz w:val="22"/>
          <w:szCs w:val="22"/>
        </w:rPr>
        <w:t xml:space="preserve">Assigned work, tracked progress, reviewed deliverables, and ensured timely completion of assignments.</w:t>
      </w:r>
    </w:p>
    <w:p>
      <w:pPr>
        <w:pStyle w:val="ListParagraph"/>
        <w:numPr>
          <w:ilvl w:val="0"/>
          <w:numId w:val="2"/>
        </w:numPr>
        <w:spacing w:after="100"/>
      </w:pPr>
      <w:r>
        <w:rPr>
          <w:sz w:val="22"/>
          <w:szCs w:val="22"/>
        </w:rPr>
        <w:t xml:space="preserve">Conducted regular follow-ups, removed delivery blockers, and coordinated successful releases.</w:t>
      </w:r>
    </w:p>
    <w:p>
      <w:pPr>
        <w:pStyle w:val="ListParagraph"/>
        <w:numPr>
          <w:ilvl w:val="0"/>
          <w:numId w:val="2"/>
        </w:numPr>
        <w:spacing w:after="100"/>
      </w:pPr>
      <w:r>
        <w:rPr>
          <w:sz w:val="22"/>
          <w:szCs w:val="22"/>
        </w:rPr>
        <w:t xml:space="preserve">Enabled knowledge sharing and maintained high-quality delivery standards across the team.</w:t>
      </w:r>
    </w:p>
    <w:p>
      <w:pPr>
        <w:pStyle w:val="Heading1"/>
        <w:pBdr>
          <w:bottom w:val="single" w:color="2E5A9C" w:sz="6" w:space="4"/>
        </w:pBdr>
        <w:spacing w:after="140" w:before="320"/>
      </w:pPr>
      <w:r>
        <w:rPr>
          <w:b/>
          <w:bCs/>
          <w:color w:val="1F3864"/>
          <w:sz w:val="28"/>
          <w:szCs w:val="28"/>
        </w:rPr>
        <w:t xml:space="preserve">Technical Excellence</w:t>
      </w:r>
    </w:p>
    <w:p>
      <w:pPr>
        <w:pStyle w:val="ListParagraph"/>
        <w:numPr>
          <w:ilvl w:val="0"/>
          <w:numId w:val="2"/>
        </w:numPr>
        <w:spacing w:after="100"/>
      </w:pPr>
      <w:r>
        <w:rPr>
          <w:sz w:val="22"/>
          <w:szCs w:val="22"/>
        </w:rPr>
        <w:t xml:space="preserve">Demonstrated strong expertise in Databricks, SQL, Synapse, ETL/ELT frameworks, data warehousing, and enterprise data lake architecture.</w:t>
      </w:r>
    </w:p>
    <w:p>
      <w:pPr>
        <w:pStyle w:val="ListParagraph"/>
        <w:numPr>
          <w:ilvl w:val="0"/>
          <w:numId w:val="2"/>
        </w:numPr>
        <w:spacing w:after="100"/>
      </w:pPr>
      <w:r>
        <w:rPr>
          <w:sz w:val="22"/>
          <w:szCs w:val="22"/>
        </w:rPr>
        <w:t xml:space="preserve">Leveraged extensive experience in data modeling, reconciliation frameworks, performance tuning, and production support.</w:t>
      </w:r>
    </w:p>
    <w:p>
      <w:pPr>
        <w:pStyle w:val="ListParagraph"/>
        <w:numPr>
          <w:ilvl w:val="0"/>
          <w:numId w:val="2"/>
        </w:numPr>
        <w:spacing w:after="100"/>
      </w:pPr>
      <w:r>
        <w:rPr>
          <w:sz w:val="22"/>
          <w:szCs w:val="22"/>
        </w:rPr>
        <w:t xml:space="preserve">Successfully delivered solutions across Clinical Operations, LMS, Finance, HR, Resource Management, Scoping, Demand Planning, and Master Data domains.</w:t>
      </w:r>
    </w:p>
    <w:p>
      <w:pPr>
        <w:pStyle w:val="Heading1"/>
        <w:pBdr>
          <w:bottom w:val="single" w:color="2E5A9C" w:sz="6" w:space="4"/>
        </w:pBdr>
        <w:spacing w:after="140" w:before="320"/>
      </w:pPr>
      <w:r>
        <w:rPr>
          <w:b/>
          <w:bCs/>
          <w:color w:val="1F3864"/>
          <w:sz w:val="28"/>
          <w:szCs w:val="28"/>
        </w:rPr>
        <w:t xml:space="preserve">Why This Nomination Is Deserved</w:t>
      </w:r>
    </w:p>
    <w:p>
      <w:pPr>
        <w:pStyle w:val="ListParagraph"/>
        <w:numPr>
          <w:ilvl w:val="0"/>
          <w:numId w:val="2"/>
        </w:numPr>
        <w:spacing w:after="100"/>
      </w:pPr>
      <w:r>
        <w:rPr>
          <w:sz w:val="22"/>
          <w:szCs w:val="22"/>
        </w:rPr>
        <w:t xml:space="preserve">Consistently delivered high-impact initiatives while balancing project delivery, support, leadership, and stakeholder engagement.</w:t>
      </w:r>
    </w:p>
    <w:p>
      <w:pPr>
        <w:pStyle w:val="ListParagraph"/>
        <w:numPr>
          <w:ilvl w:val="0"/>
          <w:numId w:val="2"/>
        </w:numPr>
        <w:spacing w:after="100"/>
      </w:pPr>
      <w:r>
        <w:rPr>
          <w:sz w:val="22"/>
          <w:szCs w:val="22"/>
        </w:rPr>
        <w:t xml:space="preserve">Demonstrated exceptional ownership, accountability, and commitment to organizational success.</w:t>
      </w:r>
    </w:p>
    <w:p>
      <w:pPr>
        <w:pStyle w:val="ListParagraph"/>
        <w:numPr>
          <w:ilvl w:val="0"/>
          <w:numId w:val="2"/>
        </w:numPr>
        <w:spacing w:after="100"/>
      </w:pPr>
      <w:r>
        <w:rPr>
          <w:sz w:val="22"/>
          <w:szCs w:val="22"/>
        </w:rPr>
        <w:t xml:space="preserve">Created measurable value through innovation, automation, operational excellence, and customer-focused delivery.</w:t>
      </w:r>
    </w:p>
    <w:p>
      <w:pPr>
        <w:pStyle w:val="ListParagraph"/>
        <w:numPr>
          <w:ilvl w:val="0"/>
          <w:numId w:val="2"/>
        </w:numPr>
        <w:spacing w:after="100"/>
      </w:pPr>
      <w:r>
        <w:rPr>
          <w:sz w:val="22"/>
          <w:szCs w:val="22"/>
        </w:rPr>
        <w:t xml:space="preserve">Played a key role in ensuring business continuity, successful releases, and adoption of enterprise data solutions.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2026-07-09T02:20:26.180Z</dcterms:created>
  <dcterms:modified xsi:type="dcterms:W3CDTF">2026-07-09T02:20:26.197Z</dcterms:modified>
</cp:coreProperties>
</file>

<file path=docProps/custom.xml><?xml version="1.0" encoding="utf-8"?>
<Properties xmlns="http://schemas.openxmlformats.org/officeDocument/2006/custom-properties" xmlns:vt="http://schemas.openxmlformats.org/officeDocument/2006/docPropsVTypes"/>
</file>