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Calibri" w:cs="Calibri" w:eastAsia="Calibri" w:hAnsi="Calibri"/>
          <w:b/>
          <w:bCs/>
          <w:color w:val="1F3864"/>
          <w:sz w:val="64"/>
          <w:szCs w:val="64"/>
        </w:rPr>
        <w:t xml:space="preserve">AI-ENABLED EMPLOYEE ACTIVITY</w:t>
      </w:r>
    </w:p>
    <w:p>
      <w:pPr>
        <w:spacing w:after="200" w:before="0"/>
        <w:jc w:val="center"/>
      </w:pPr>
      <w:r>
        <w:rPr>
          <w:rFonts w:ascii="Calibri" w:cs="Calibri" w:eastAsia="Calibri" w:hAnsi="Calibri"/>
          <w:b/>
          <w:bCs/>
          <w:color w:val="1F3864"/>
          <w:sz w:val="64"/>
          <w:szCs w:val="64"/>
        </w:rPr>
        <w:t xml:space="preserve">CLASSIFICATION SYSTEM</w:t>
      </w:r>
    </w:p>
    <w:p>
      <w:pPr>
        <w:spacing w:after="120" w:before="200"/>
        <w:jc w:val="center"/>
      </w:pPr>
      <w:r>
        <w:rPr>
          <w:rFonts w:ascii="Calibri" w:cs="Calibri" w:eastAsia="Calibri" w:hAnsi="Calibri"/>
          <w:color w:val="2E5F8A"/>
          <w:sz w:val="36"/>
          <w:szCs w:val="36"/>
        </w:rPr>
        <w:t xml:space="preserve">Architecture, Design &amp; Technical Documentation</w:t>
      </w:r>
    </w:p>
    <w:p>
      <w:pPr>
        <w:spacing w:after="800" w:before="120"/>
        <w:jc w:val="center"/>
      </w:pPr>
      <w:r>
        <w:rPr>
          <w:rFonts w:ascii="Calibri" w:cs="Calibri" w:eastAsia="Calibri" w:hAnsi="Calibri"/>
          <w:color w:val="777777"/>
          <w:sz w:val="26"/>
          <w:szCs w:val="26"/>
        </w:rPr>
        <w:t xml:space="preserve">CapEx / OpEx Classification Assessment Submission</w:t>
      </w:r>
    </w:p>
    <w:p>
      <w:pPr>
        <w:spacing w:after="60" w:before="0"/>
        <w:jc w:val="center"/>
      </w:pPr>
      <w:r>
        <w:rPr>
          <w:rFonts w:ascii="Calibri" w:cs="Calibri" w:eastAsia="Calibri" w:hAnsi="Calibri"/>
          <w:color w:val="555555"/>
          <w:sz w:val="22"/>
          <w:szCs w:val="22"/>
        </w:rPr>
        <w:t xml:space="preserve">Submitted To: Pratyoosh Patel, Infovision</w:t>
      </w:r>
    </w:p>
    <w:p>
      <w:pPr>
        <w:spacing w:after="60" w:before="0"/>
        <w:jc w:val="center"/>
      </w:pPr>
      <w:r>
        <w:rPr>
          <w:rFonts w:ascii="Calibri" w:cs="Calibri" w:eastAsia="Calibri" w:hAnsi="Calibri"/>
          <w:b/>
          <w:bCs/>
          <w:color w:val="E8834A"/>
          <w:sz w:val="22"/>
          <w:szCs w:val="22"/>
        </w:rPr>
        <w:t xml:space="preserve">Submission Deadline: May 21, 2026 — 12:00 PM CST</w:t>
      </w:r>
    </w:p>
    <w:p>
      <w:r>
        <w:br w:type="page"/>
      </w:r>
    </w:p>
    <w:p>
      <w:pPr>
        <w:pStyle w:val="Heading1"/>
        <w:spacing w:after="160" w:before="400"/>
      </w:pPr>
      <w:r>
        <w:rPr>
          <w:rFonts w:ascii="Calibri" w:cs="Calibri" w:eastAsia="Calibri" w:hAnsi="Calibri"/>
          <w:b/>
          <w:bCs/>
          <w:color w:val="1F3864"/>
          <w:sz w:val="36"/>
          <w:szCs w:val="36"/>
        </w:rPr>
        <w:t xml:space="preserve">Table of Contents</w:t>
      </w:r>
    </w:p>
    <w:p>
      <w:pPr>
        <w:spacing w:after="80" w:before="60"/>
      </w:pPr>
      <w:r>
        <w:rPr>
          <w:rFonts w:ascii="Calibri" w:cs="Calibri" w:eastAsia="Calibri" w:hAnsi="Calibri"/>
          <w:color w:val="1A1A2E"/>
          <w:sz w:val="22"/>
          <w:szCs w:val="22"/>
        </w:rPr>
        <w:t xml:space="preserve">1.  Executive Summary</w:t>
      </w:r>
    </w:p>
    <w:p>
      <w:pPr>
        <w:spacing w:after="80" w:before="60"/>
      </w:pPr>
      <w:r>
        <w:rPr>
          <w:rFonts w:ascii="Calibri" w:cs="Calibri" w:eastAsia="Calibri" w:hAnsi="Calibri"/>
          <w:color w:val="1A1A2E"/>
          <w:sz w:val="22"/>
          <w:szCs w:val="22"/>
        </w:rPr>
        <w:t xml:space="preserve">2.  Problem Statement &amp; Business Context</w:t>
      </w:r>
    </w:p>
    <w:p>
      <w:pPr>
        <w:spacing w:after="80" w:before="60"/>
      </w:pPr>
      <w:r>
        <w:rPr>
          <w:rFonts w:ascii="Calibri" w:cs="Calibri" w:eastAsia="Calibri" w:hAnsi="Calibri"/>
          <w:color w:val="1A1A2E"/>
          <w:sz w:val="22"/>
          <w:szCs w:val="22"/>
        </w:rPr>
        <w:t xml:space="preserve">3.  System Architecture Overview</w:t>
      </w:r>
    </w:p>
    <w:p>
      <w:pPr>
        <w:spacing w:after="80" w:before="60"/>
      </w:pPr>
      <w:r>
        <w:rPr>
          <w:rFonts w:ascii="Calibri" w:cs="Calibri" w:eastAsia="Calibri" w:hAnsi="Calibri"/>
          <w:color w:val="1A1A2E"/>
          <w:sz w:val="22"/>
          <w:szCs w:val="22"/>
        </w:rPr>
        <w:t xml:space="preserve">4.  Architecture Diagram Description</w:t>
      </w:r>
    </w:p>
    <w:p>
      <w:pPr>
        <w:spacing w:after="80" w:before="60"/>
      </w:pPr>
      <w:r>
        <w:rPr>
          <w:rFonts w:ascii="Calibri" w:cs="Calibri" w:eastAsia="Calibri" w:hAnsi="Calibri"/>
          <w:color w:val="1A1A2E"/>
          <w:sz w:val="22"/>
          <w:szCs w:val="22"/>
        </w:rPr>
        <w:t xml:space="preserve">5.  Pluggable Connector Framework</w:t>
      </w:r>
    </w:p>
    <w:p>
      <w:pPr>
        <w:spacing w:after="80" w:before="60"/>
      </w:pPr>
      <w:r>
        <w:rPr>
          <w:rFonts w:ascii="Calibri" w:cs="Calibri" w:eastAsia="Calibri" w:hAnsi="Calibri"/>
          <w:color w:val="1A1A2E"/>
          <w:sz w:val="22"/>
          <w:szCs w:val="22"/>
        </w:rPr>
        <w:t xml:space="preserve">6.  Data Enrichment Pipeline</w:t>
      </w:r>
    </w:p>
    <w:p>
      <w:pPr>
        <w:spacing w:after="80" w:before="60"/>
      </w:pPr>
      <w:r>
        <w:rPr>
          <w:rFonts w:ascii="Calibri" w:cs="Calibri" w:eastAsia="Calibri" w:hAnsi="Calibri"/>
          <w:color w:val="1A1A2E"/>
          <w:sz w:val="22"/>
          <w:szCs w:val="22"/>
        </w:rPr>
        <w:t xml:space="preserve">7.  CapEx/OpEx Classification Engine — Rules &amp; Accounting Rationale</w:t>
      </w:r>
    </w:p>
    <w:p>
      <w:pPr>
        <w:spacing w:after="80" w:before="60"/>
      </w:pPr>
      <w:r>
        <w:rPr>
          <w:rFonts w:ascii="Calibri" w:cs="Calibri" w:eastAsia="Calibri" w:hAnsi="Calibri"/>
          <w:color w:val="1A1A2E"/>
          <w:sz w:val="22"/>
          <w:szCs w:val="22"/>
        </w:rPr>
        <w:t xml:space="preserve">8.  Multi-Agent Architecture</w:t>
      </w:r>
    </w:p>
    <w:p>
      <w:pPr>
        <w:spacing w:after="80" w:before="60"/>
      </w:pPr>
      <w:r>
        <w:rPr>
          <w:rFonts w:ascii="Calibri" w:cs="Calibri" w:eastAsia="Calibri" w:hAnsi="Calibri"/>
          <w:color w:val="1A1A2E"/>
          <w:sz w:val="22"/>
          <w:szCs w:val="22"/>
        </w:rPr>
        <w:t xml:space="preserve">9.  Audit Trail Design (Production)</w:t>
      </w:r>
    </w:p>
    <w:p>
      <w:pPr>
        <w:spacing w:after="80" w:before="60"/>
      </w:pPr>
      <w:r>
        <w:rPr>
          <w:rFonts w:ascii="Calibri" w:cs="Calibri" w:eastAsia="Calibri" w:hAnsi="Calibri"/>
          <w:color w:val="1A1A2E"/>
          <w:sz w:val="22"/>
          <w:szCs w:val="22"/>
        </w:rPr>
        <w:t xml:space="preserve">10. Form Parsing Pipeline</w:t>
      </w:r>
    </w:p>
    <w:p>
      <w:pPr>
        <w:spacing w:after="80" w:before="60"/>
      </w:pPr>
      <w:r>
        <w:rPr>
          <w:rFonts w:ascii="Calibri" w:cs="Calibri" w:eastAsia="Calibri" w:hAnsi="Calibri"/>
          <w:color w:val="1A1A2E"/>
          <w:sz w:val="22"/>
          <w:szCs w:val="22"/>
        </w:rPr>
        <w:t xml:space="preserve">11. Stub &amp; Simulated Component Registry</w:t>
      </w:r>
    </w:p>
    <w:p>
      <w:r>
        <w:br w:type="page"/>
      </w:r>
    </w:p>
    <w:p>
      <w:pPr>
        <w:pStyle w:val="Heading1"/>
        <w:spacing w:after="160" w:before="400"/>
      </w:pPr>
      <w:r>
        <w:rPr>
          <w:rFonts w:ascii="Calibri" w:cs="Calibri" w:eastAsia="Calibri" w:hAnsi="Calibri"/>
          <w:b/>
          <w:bCs/>
          <w:color w:val="1F3864"/>
          <w:sz w:val="36"/>
          <w:szCs w:val="36"/>
        </w:rPr>
        <w:t xml:space="preserve">1. Executive Summary</w:t>
      </w:r>
    </w:p>
    <w:p>
      <w:pPr>
        <w:spacing w:after="80" w:before="60"/>
      </w:pPr>
      <w:r>
        <w:rPr>
          <w:rFonts w:ascii="Calibri" w:cs="Calibri" w:eastAsia="Calibri" w:hAnsi="Calibri"/>
          <w:color w:val="1A1A2E"/>
          <w:sz w:val="22"/>
          <w:szCs w:val="22"/>
        </w:rPr>
        <w:t xml:space="preserve">The Employee Activity Classification (EAC) System is an AI-enabled platform that automatically classifies employee work activities as Capital Expenditure (CapEx) or Operating Expense (OpEx) using observable digital workplace signals, fixed-asset accounting rules, and HR job-profile context. The system eliminates the annual survey recall burden — where engineers are forced to reconstruct a full year of activity from memory — replacing it with a review-and-confirm interaction driven by AI inference.</w:t>
      </w:r>
    </w:p>
    <w:p>
      <w:pPr>
        <w:spacing w:after="40" w:before="40"/>
      </w:pPr>
    </w:p>
    <w:p>
      <w:pPr>
        <w:spacing w:after="80" w:before="60"/>
      </w:pPr>
      <w:r>
        <w:rPr>
          <w:rFonts w:ascii="Calibri" w:cs="Calibri" w:eastAsia="Calibri" w:hAnsi="Calibri"/>
          <w:color w:val="1A1A2E"/>
          <w:sz w:val="22"/>
          <w:szCs w:val="22"/>
        </w:rPr>
        <w:t xml:space="preserve">The financial opportunity is substantial. A large enterprise telco employs over 21,000 engineers who currently default-book 100% of their time to OpEx. A meaningful fraction of that labor qualifies for capital treatment under IRS and GAAP fixed-asset rules. Every dollar not capitalised is permanently lost — it cannot be retroactively recovered once the accounting period closes. At fully-loaded engineer rates, even a 10–15% reclassification shift across that population represents tens of millions of dollars in annual balance-sheet improvement.</w:t>
      </w:r>
    </w:p>
    <w:p>
      <w:pPr>
        <w:spacing w:after="40" w:before="40"/>
      </w:pPr>
    </w:p>
    <w:p>
      <w:pPr>
        <w:spacing w:after="80" w:before="60"/>
      </w:pPr>
      <w:r>
        <w:rPr>
          <w:rFonts w:ascii="Calibri" w:cs="Calibri" w:eastAsia="Calibri" w:hAnsi="Calibri"/>
          <w:color w:val="1A1A2E"/>
          <w:sz w:val="22"/>
          <w:szCs w:val="22"/>
        </w:rPr>
        <w:t xml:space="preserve">This document provides the complete technical specification for the EAC System, covering: system architecture and data flow, the pluggable connector framework, the six-stage data enrichment pipeline, the five-rule weighted classification engine with accounting rationale, the multi-agent orchestration model, the audit trail design, the form parsing pipeline methodology, and a full registry of every stub component with its production replacement plan. The application is live at the submitted Vercel URL and all source code is available in the linked GitHub repository.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34A" w:sz="6"/>
              <w:left w:val="single" w:color="E8834A" w:sz="16"/>
              <w:bottom w:val="single" w:color="E0E0E0" w:sz="2"/>
              <w:right w:val="single" w:color="E0E0E0" w:sz="2"/>
            </w:tcBorders>
            <w:shd w:fill="FFF8F0" w:val="clear"/>
            <w:tcMar>
              <w:top w:type="dxa" w:w="100"/>
              <w:left w:type="dxa" w:w="200"/>
              <w:bottom w:type="dxa" w:w="100"/>
              <w:right w:type="dxa" w:w="160"/>
            </w:tcMar>
          </w:tcPr>
          <w:p>
            <w:pPr>
              <w:spacing w:after="60" w:before="0"/>
            </w:pPr>
            <w:r>
              <w:rPr>
                <w:rFonts w:ascii="Calibri" w:cs="Calibri" w:eastAsia="Calibri" w:hAnsi="Calibri"/>
                <w:b/>
                <w:bCs/>
                <w:color w:val="E8834A"/>
                <w:sz w:val="22"/>
                <w:szCs w:val="22"/>
              </w:rPr>
              <w:t xml:space="preserve">POC Scope Statement</w:t>
            </w:r>
          </w:p>
          <w:p>
            <w:pPr>
              <w:spacing w:after="0" w:before="0"/>
            </w:pPr>
            <w:r>
              <w:rPr>
                <w:rFonts w:ascii="Calibri" w:cs="Calibri" w:eastAsia="Calibri" w:hAnsi="Calibri"/>
                <w:color w:val="444444"/>
                <w:sz w:val="20"/>
                <w:szCs w:val="20"/>
              </w:rPr>
              <w:t xml:space="preserve">Two active data connectors are delivered: (1) an Excel dataset connector parsing EAC_Dataset.xlsx, and (2) a form document parser extracting structured data from 10 .docx survey forms. The full classification engine operates on data from either connector. All other data contexts — HR profiles, accounting rules, investment designations, historical survey data — are stubbed with clear documentation of production replacement paths.</w:t>
            </w:r>
          </w:p>
        </w:tc>
      </w:tr>
    </w:tbl>
    <w:p>
      <w:r>
        <w:br w:type="page"/>
      </w:r>
    </w:p>
    <w:p>
      <w:pPr>
        <w:pStyle w:val="Heading1"/>
        <w:spacing w:after="160" w:before="400"/>
      </w:pPr>
      <w:r>
        <w:rPr>
          <w:rFonts w:ascii="Calibri" w:cs="Calibri" w:eastAsia="Calibri" w:hAnsi="Calibri"/>
          <w:b/>
          <w:bCs/>
          <w:color w:val="1F3864"/>
          <w:sz w:val="36"/>
          <w:szCs w:val="36"/>
        </w:rPr>
        <w:t xml:space="preserve">2. Problem Statement &amp; Business Context</w:t>
      </w:r>
    </w:p>
    <w:p>
      <w:pPr>
        <w:pStyle w:val="Heading2"/>
        <w:pBdr>
          <w:bottom w:val="single" w:color="2E5F8A" w:sz="4"/>
        </w:pBdr>
        <w:spacing w:after="100" w:before="280"/>
      </w:pPr>
      <w:r>
        <w:rPr>
          <w:rFonts w:ascii="Calibri" w:cs="Calibri" w:eastAsia="Calibri" w:hAnsi="Calibri"/>
          <w:b/>
          <w:bCs/>
          <w:color w:val="2E5F8A"/>
          <w:sz w:val="28"/>
          <w:szCs w:val="28"/>
        </w:rPr>
        <w:t xml:space="preserve">2.1 The Capital Classification Problem</w:t>
      </w:r>
    </w:p>
    <w:p>
      <w:pPr>
        <w:spacing w:after="80" w:before="60"/>
      </w:pPr>
      <w:r>
        <w:rPr>
          <w:rFonts w:ascii="Calibri" w:cs="Calibri" w:eastAsia="Calibri" w:hAnsi="Calibri"/>
          <w:color w:val="1A1A2E"/>
          <w:sz w:val="22"/>
          <w:szCs w:val="22"/>
        </w:rPr>
        <w:t xml:space="preserve">Under US GAAP (ASC 350, ASC 360) and tax accounting rules, companies that deploy capital assets — network infrastructure, software platforms, physical plant — are required to distinguish between expenditures that create long-lived assets (CapEx, which are capitalised and depreciated) and expenditures that are consumed within the current period (OpEx, which are expensed immediately). The classification of engineer labor is the primary judgment call: the same engineer can be doing CapEx work (building new infrastructure) and OpEx work (maintaining existing infrastructure) in the same week.</w:t>
      </w:r>
    </w:p>
    <w:p>
      <w:pPr>
        <w:spacing w:after="40" w:before="40"/>
      </w:pPr>
    </w:p>
    <w:p>
      <w:pPr>
        <w:spacing w:after="80" w:before="60"/>
      </w:pPr>
      <w:r>
        <w:rPr>
          <w:rFonts w:ascii="Calibri" w:cs="Calibri" w:eastAsia="Calibri" w:hAnsi="Calibri"/>
          <w:color w:val="1A1A2E"/>
          <w:sz w:val="22"/>
          <w:szCs w:val="22"/>
        </w:rPr>
        <w:t xml:space="preserve">The current classification mechanism is a once-per-year survey where engineers estimate, from memory, the percentage of time they spent across approximately 15–25 activity categories spanning the preceding twelve months. This mechanism has three fundamental deficiencies:</w:t>
      </w:r>
    </w:p>
    <w:p>
      <w:pPr>
        <w:pStyle w:val="ListParagraph"/>
        <w:numPr>
          <w:ilvl w:val="0"/>
          <w:numId w:val="2"/>
        </w:numPr>
        <w:spacing w:after="40" w:before="40"/>
      </w:pPr>
      <w:r>
        <w:rPr>
          <w:rFonts w:ascii="Calibri" w:cs="Calibri" w:eastAsia="Calibri" w:hAnsi="Calibri"/>
          <w:color w:val="1A1A2E"/>
          <w:sz w:val="22"/>
          <w:szCs w:val="22"/>
        </w:rPr>
        <w:t xml:space="preserve">Annual recall is unreliable. Cognitive science research on episodic memory consistently shows that recall accuracy degrades exponentially beyond a few weeks. An engineer asked in May to recall January activity will produce highly inaccurate estimates regardless of intent.</w:t>
      </w:r>
    </w:p>
    <w:p>
      <w:pPr>
        <w:pStyle w:val="ListParagraph"/>
        <w:numPr>
          <w:ilvl w:val="0"/>
          <w:numId w:val="2"/>
        </w:numPr>
        <w:spacing w:after="40" w:before="40"/>
      </w:pPr>
      <w:r>
        <w:rPr>
          <w:rFonts w:ascii="Calibri" w:cs="Calibri" w:eastAsia="Calibri" w:hAnsi="Calibri"/>
          <w:color w:val="1A1A2E"/>
          <w:sz w:val="22"/>
          <w:szCs w:val="22"/>
        </w:rPr>
        <w:t xml:space="preserve">Survey timing is fixed and misaligned. The survey window opens annually in May. Capital work patterns vary throughout the year — major construction events happen in Q1 and Q3, not during the survey window. The survey captures a biased snapshot.</w:t>
      </w:r>
    </w:p>
    <w:p>
      <w:pPr>
        <w:pStyle w:val="ListParagraph"/>
        <w:numPr>
          <w:ilvl w:val="0"/>
          <w:numId w:val="2"/>
        </w:numPr>
        <w:spacing w:after="40" w:before="40"/>
      </w:pPr>
      <w:r>
        <w:rPr>
          <w:rFonts w:ascii="Calibri" w:cs="Calibri" w:eastAsia="Calibri" w:hAnsi="Calibri"/>
          <w:color w:val="1A1A2E"/>
          <w:sz w:val="22"/>
          <w:szCs w:val="22"/>
        </w:rPr>
        <w:t xml:space="preserve">The untracked population is enormous. An estimated 21,000+ employees book 100% of their time to OpEx because they are not part of any survey population. Among network engineers, field technicians, and construction managers, a significant fraction of daily activity qualifies for capital treatment. These employees are invisible to the current classification system.</w:t>
      </w:r>
    </w:p>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2.2 Why AI Classification Is Feasible Now</w:t>
      </w:r>
    </w:p>
    <w:p>
      <w:pPr>
        <w:spacing w:after="80" w:before="60"/>
      </w:pPr>
      <w:r>
        <w:rPr>
          <w:rFonts w:ascii="Calibri" w:cs="Calibri" w:eastAsia="Calibri" w:hAnsi="Calibri"/>
          <w:color w:val="1A1A2E"/>
          <w:sz w:val="22"/>
          <w:szCs w:val="22"/>
        </w:rPr>
        <w:t xml:space="preserve">Observable digital workplace data provides a near-complete substitute for employee self-reporting. Every capital construction event generates a trail of observable signals: Build Milestone Tracker entries, Xcelerate field visit logs, DMAT drive test records, xLPT analysis reports, calendar meetings with contractor codes, project management system updates. These signals exist regardless of whether the employee fills out a survey.</w:t>
      </w:r>
    </w:p>
    <w:p>
      <w:pPr>
        <w:spacing w:after="40" w:before="40"/>
      </w:pPr>
    </w:p>
    <w:p>
      <w:pPr>
        <w:spacing w:after="80" w:before="60"/>
      </w:pPr>
      <w:r>
        <w:rPr>
          <w:rFonts w:ascii="Calibri" w:cs="Calibri" w:eastAsia="Calibri" w:hAnsi="Calibri"/>
          <w:color w:val="1A1A2E"/>
          <w:sz w:val="22"/>
          <w:szCs w:val="22"/>
        </w:rPr>
        <w:t xml:space="preserve">When these observable signals are joined with HR job-profile data (job family, org unit, manager), investment/project context (funding category, CapEx/OpEx designation per initiative), and fixed-asset accounting rules, the classification can be performed algorithmically with high confidence for the majority of records. The POC data confirms this: 85–100% of surveyed activity is CapEx-eligible, and the primary signal driving that determination — CapEx Eligible Percentage self-reported in the form — correlates directly with other observable fields (Build Milestone activity, Expansion cost class, New Construction labor category).</w:t>
      </w:r>
    </w:p>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2.3 Business Objectives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Objective</w:t>
            </w:r>
          </w:p>
        </w:tc>
        <w:tc>
          <w:tcPr>
            <w:tcW w:type="dxa" w:w="576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How EAC Addresses It</w:t>
            </w:r>
          </w:p>
        </w:tc>
      </w:tr>
      <w:tr>
        <w:tc>
          <w:tcPr>
            <w:tcW w:type="dxa" w:w="3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Classify labor activities as CapEx or OpEx using AI inference</w:t>
            </w:r>
          </w:p>
        </w:tc>
        <w:tc>
          <w:tcPr>
            <w:tcW w:type="dxa" w:w="57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Five-rule weighted classification engine with confidence scoring, operating on structured records from both Excel and form connectors</w:t>
            </w:r>
          </w:p>
        </w:tc>
      </w:tr>
      <w:tr>
        <w:tc>
          <w:tcPr>
            <w:tcW w:type="dxa" w:w="3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Reduce employee cognitive burden to review-and-confirm</w:t>
            </w:r>
          </w:p>
        </w:tc>
        <w:tc>
          <w:tcPr>
            <w:tcW w:type="dxa" w:w="57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Pre-populated classifications surface to employees for review rather than requiring recall — effort drops from hours to minutes</w:t>
            </w:r>
          </w:p>
        </w:tc>
      </w:tr>
      <w:tr>
        <w:tc>
          <w:tcPr>
            <w:tcW w:type="dxa" w:w="3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Pre-populate annual capital labor survey responses</w:t>
            </w:r>
          </w:p>
        </w:tc>
        <w:tc>
          <w:tcPr>
            <w:tcW w:type="dxa" w:w="57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Engine produces per-employee percentage distributions across survey categories, formatted to match annual survey output schema</w:t>
            </w:r>
          </w:p>
        </w:tc>
      </w:tr>
      <w:tr>
        <w:tc>
          <w:tcPr>
            <w:tcW w:type="dxa" w:w="3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Surface capitalizable activities from 100% OpEx default population</w:t>
            </w:r>
          </w:p>
        </w:tc>
        <w:tc>
          <w:tcPr>
            <w:tcW w:type="dxa" w:w="57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Any engineer whose record shows CapEx-eligible signals will be reclassified and surfaced in the capitalisation shift report</w:t>
            </w:r>
          </w:p>
        </w:tc>
      </w:tr>
      <w:tr>
        <w:tc>
          <w:tcPr>
            <w:tcW w:type="dxa" w:w="3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Produce capitalisation shift metric</w:t>
            </w:r>
          </w:p>
        </w:tc>
        <w:tc>
          <w:tcPr>
            <w:tcW w:type="dxa" w:w="57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Dashboard shows baseline (assumed 100% OpEx) vs. post-classification CapEx percentage, with dollar value impact per employee and in aggregate</w:t>
            </w:r>
          </w:p>
        </w:tc>
      </w:tr>
      <w:tr>
        <w:tc>
          <w:tcPr>
            <w:tcW w:type="dxa" w:w="3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Source-agnostic, extensible engine</w:t>
            </w:r>
          </w:p>
        </w:tc>
        <w:tc>
          <w:tcPr>
            <w:tcW w:type="dxa" w:w="57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Engine consumes standardised records from the data layer; connector-specific logic is isolated in connector modules behind a formal interface contract</w:t>
            </w:r>
          </w:p>
        </w:tc>
      </w:tr>
      <w:tr>
        <w:tc>
          <w:tcPr>
            <w:tcW w:type="dxa" w:w="3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Auditable, defensible classifications</w:t>
            </w:r>
          </w:p>
        </w:tc>
        <w:tc>
          <w:tcPr>
            <w:tcW w:type="dxa" w:w="57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Every classification carries an evidence trail referencing specific observable signals; audit trail captures input signals, rule version, confidence score, output, and overrides</w:t>
            </w:r>
          </w:p>
        </w:tc>
      </w:tr>
    </w:tbl>
    <w:p>
      <w:r>
        <w:br w:type="page"/>
      </w:r>
    </w:p>
    <w:p>
      <w:pPr>
        <w:pStyle w:val="Heading1"/>
        <w:spacing w:after="160" w:before="400"/>
      </w:pPr>
      <w:r>
        <w:rPr>
          <w:rFonts w:ascii="Calibri" w:cs="Calibri" w:eastAsia="Calibri" w:hAnsi="Calibri"/>
          <w:b/>
          <w:bCs/>
          <w:color w:val="1F3864"/>
          <w:sz w:val="36"/>
          <w:szCs w:val="36"/>
        </w:rPr>
        <w:t xml:space="preserve">3. System Architecture Overview</w:t>
      </w:r>
    </w:p>
    <w:p>
      <w:pPr>
        <w:pStyle w:val="Heading2"/>
        <w:pBdr>
          <w:bottom w:val="single" w:color="2E5F8A" w:sz="4"/>
        </w:pBdr>
        <w:spacing w:after="100" w:before="280"/>
      </w:pPr>
      <w:r>
        <w:rPr>
          <w:rFonts w:ascii="Calibri" w:cs="Calibri" w:eastAsia="Calibri" w:hAnsi="Calibri"/>
          <w:b/>
          <w:bCs/>
          <w:color w:val="2E5F8A"/>
          <w:sz w:val="28"/>
          <w:szCs w:val="28"/>
        </w:rPr>
        <w:t xml:space="preserve">3.1 Architectural Principles</w:t>
      </w:r>
    </w:p>
    <w:p>
      <w:pPr>
        <w:spacing w:after="80" w:before="60"/>
      </w:pPr>
      <w:r>
        <w:rPr>
          <w:rFonts w:ascii="Calibri" w:cs="Calibri" w:eastAsia="Calibri" w:hAnsi="Calibri"/>
          <w:color w:val="1A1A2E"/>
          <w:sz w:val="22"/>
          <w:szCs w:val="22"/>
        </w:rPr>
        <w:t xml:space="preserve">The EAC System is designed around three confirmed architectural principles from the sponsoring organisation. Every design decision flows from these constraints:</w:t>
      </w:r>
    </w:p>
    <w:p>
      <w:pPr>
        <w:pStyle w:val="ListParagraph"/>
        <w:numPr>
          <w:ilvl w:val="0"/>
          <w:numId w:val="3"/>
        </w:numPr>
        <w:spacing w:after="40" w:before="40"/>
      </w:pPr>
      <w:r>
        <w:rPr>
          <w:rFonts w:ascii="Calibri" w:cs="Calibri" w:eastAsia="Calibri" w:hAnsi="Calibri"/>
          <w:color w:val="1A1A2E"/>
          <w:sz w:val="22"/>
          <w:szCs w:val="22"/>
        </w:rPr>
        <w:t xml:space="preserve">Engine-first, source-agnostic. The classification engine is the primary deliverable. All data connectors are pluggable inputs that produce identically-structured records. The engine has no knowledge of where data came from.</w:t>
      </w:r>
    </w:p>
    <w:p>
      <w:pPr>
        <w:pStyle w:val="ListParagraph"/>
        <w:numPr>
          <w:ilvl w:val="0"/>
          <w:numId w:val="3"/>
        </w:numPr>
        <w:spacing w:after="40" w:before="40"/>
      </w:pPr>
      <w:r>
        <w:rPr>
          <w:rFonts w:ascii="Calibri" w:cs="Calibri" w:eastAsia="Calibri" w:hAnsi="Calibri"/>
          <w:color w:val="1A1A2E"/>
          <w:sz w:val="22"/>
          <w:szCs w:val="22"/>
        </w:rPr>
        <w:t xml:space="preserve">Overnight batch processing. Signals are collected during the day from approved source systems. The classification engine runs nightly, consuming all staged records and producing output for human review the following morning.</w:t>
      </w:r>
    </w:p>
    <w:p>
      <w:pPr>
        <w:pStyle w:val="ListParagraph"/>
        <w:numPr>
          <w:ilvl w:val="0"/>
          <w:numId w:val="3"/>
        </w:numPr>
        <w:spacing w:after="40" w:before="40"/>
      </w:pPr>
      <w:r>
        <w:rPr>
          <w:rFonts w:ascii="Calibri" w:cs="Calibri" w:eastAsia="Calibri" w:hAnsi="Calibri"/>
          <w:color w:val="1A1A2E"/>
          <w:sz w:val="22"/>
          <w:szCs w:val="22"/>
        </w:rPr>
        <w:t xml:space="preserve">80% one-size-fits-all coverage. The engine handles dominant employee persona patterns generically. Edge cases and low-confidence records are escalated to domain leads — not to individual employees — for human judgment.</w:t>
      </w:r>
    </w:p>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3.2 Component Architecture</w:t>
      </w:r>
    </w:p>
    <w:p>
      <w:pPr>
        <w:spacing w:after="80" w:before="60"/>
      </w:pPr>
      <w:r>
        <w:rPr>
          <w:rFonts w:ascii="Calibri" w:cs="Calibri" w:eastAsia="Calibri" w:hAnsi="Calibri"/>
          <w:color w:val="1A1A2E"/>
          <w:sz w:val="22"/>
          <w:szCs w:val="22"/>
        </w:rPr>
        <w:t xml:space="preserve">The system comprises four distinct layers, each with a formal interface to its neighbours: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Layer</w:t>
            </w:r>
          </w:p>
        </w:tc>
        <w:tc>
          <w:tcPr>
            <w:tcW w:type="dxa" w:w="32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Components</w:t>
            </w:r>
          </w:p>
        </w:tc>
        <w:tc>
          <w:tcPr>
            <w:tcW w:type="dxa" w:w="416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Responsibility</w:t>
            </w:r>
          </w:p>
        </w:tc>
      </w:tr>
      <w:tr>
        <w:tc>
          <w:tcPr>
            <w:tcW w:type="dxa" w:w="20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Presentation Layer</w:t>
            </w:r>
          </w:p>
        </w:tc>
        <w:tc>
          <w:tcPr>
            <w:tcW w:type="dxa" w:w="3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Review &amp; Confirm UI, Dashboard, Audit Trail View, Connector Panel</w:t>
            </w:r>
          </w:p>
        </w:tc>
        <w:tc>
          <w:tcPr>
            <w:tcW w:type="dxa" w:w="41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Employee-facing review interface; domain lead escalation view; management dashboard; connector status panel</w:t>
            </w:r>
          </w:p>
        </w:tc>
      </w:tr>
      <w:tr>
        <w:tc>
          <w:tcPr>
            <w:tcW w:type="dxa" w:w="20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Orchestration Layer</w:t>
            </w:r>
          </w:p>
        </w:tc>
        <w:tc>
          <w:tcPr>
            <w:tcW w:type="dxa" w:w="3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Flow Orchestrator, Run Manifest Engine, Batch Scheduler</w:t>
            </w:r>
          </w:p>
        </w:tc>
        <w:tc>
          <w:tcPr>
            <w:tcW w:type="dxa" w:w="41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Coordinates nightly pipeline execution; manages agent sequencing; handles failures and retries; produces audit records</w:t>
            </w:r>
          </w:p>
        </w:tc>
      </w:tr>
      <w:tr>
        <w:tc>
          <w:tcPr>
            <w:tcW w:type="dxa" w:w="20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Processing Layer</w:t>
            </w:r>
          </w:p>
        </w:tc>
        <w:tc>
          <w:tcPr>
            <w:tcW w:type="dxa" w:w="3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Data Harvesting Agent, Context Builder Agent, Classification Agent, Policy &amp; Rules Agent, Confidence &amp; Routing Agent</w:t>
            </w:r>
          </w:p>
        </w:tc>
        <w:tc>
          <w:tcPr>
            <w:tcW w:type="dxa" w:w="41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Six-agent pipeline that transforms raw connector output into classified, evidenced, confidence-scored records</w:t>
            </w:r>
          </w:p>
        </w:tc>
      </w:tr>
      <w:tr>
        <w:tc>
          <w:tcPr>
            <w:tcW w:type="dxa" w:w="20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Data Layer</w:t>
            </w:r>
          </w:p>
        </w:tc>
        <w:tc>
          <w:tcPr>
            <w:tcW w:type="dxa" w:w="3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Excel Connector, Form Parser Connector, HR Profile Stub, Accounting Rules Engine, Investment Context Stub</w:t>
            </w:r>
          </w:p>
        </w:tc>
        <w:tc>
          <w:tcPr>
            <w:tcW w:type="dxa" w:w="41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Source-specific ingestion; schema validation; data normalisation; staging of clean records for processing layer</w:t>
            </w:r>
          </w:p>
        </w:tc>
      </w:tr>
    </w:tbl>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3.3 Data Flow</w:t>
      </w:r>
    </w:p>
    <w:p>
      <w:pPr>
        <w:spacing w:after="80" w:before="60"/>
      </w:pPr>
      <w:r>
        <w:rPr>
          <w:rFonts w:ascii="Calibri" w:cs="Calibri" w:eastAsia="Calibri" w:hAnsi="Calibri"/>
          <w:color w:val="1A1A2E"/>
          <w:sz w:val="22"/>
          <w:szCs w:val="22"/>
        </w:rPr>
        <w:t xml:space="preserve">The end-to-end data flow follows a linear pipeline with branching at the confidence routing stage:</w:t>
      </w:r>
    </w:p>
    <w:p>
      <w:pPr>
        <w:pStyle w:val="ListParagraph"/>
        <w:numPr>
          <w:ilvl w:val="0"/>
          <w:numId w:val="3"/>
        </w:numPr>
        <w:spacing w:after="40" w:before="40"/>
      </w:pPr>
      <w:r>
        <w:rPr>
          <w:rFonts w:ascii="Calibri" w:cs="Calibri" w:eastAsia="Calibri" w:hAnsi="Calibri"/>
          <w:color w:val="1A1A2E"/>
          <w:sz w:val="22"/>
          <w:szCs w:val="22"/>
        </w:rPr>
        <w:t xml:space="preserve">Source data is ingested by active connectors (Excel file upload or form document parser) and written to the staging area as schema-validated, normalised records in the unified ActivityRecord format.</w:t>
      </w:r>
    </w:p>
    <w:p>
      <w:pPr>
        <w:pStyle w:val="ListParagraph"/>
        <w:numPr>
          <w:ilvl w:val="0"/>
          <w:numId w:val="3"/>
        </w:numPr>
        <w:spacing w:after="40" w:before="40"/>
      </w:pPr>
      <w:r>
        <w:rPr>
          <w:rFonts w:ascii="Calibri" w:cs="Calibri" w:eastAsia="Calibri" w:hAnsi="Calibri"/>
          <w:color w:val="1A1A2E"/>
          <w:sz w:val="22"/>
          <w:szCs w:val="22"/>
        </w:rPr>
        <w:t xml:space="preserve">The Data Harvesting Agent picks up staged records, performs a final validation pass, enriches each record with available HR context and investment designation from stub sources, and emits hydrated records to the processing queue.</w:t>
      </w:r>
    </w:p>
    <w:p>
      <w:pPr>
        <w:pStyle w:val="ListParagraph"/>
        <w:numPr>
          <w:ilvl w:val="0"/>
          <w:numId w:val="3"/>
        </w:numPr>
        <w:spacing w:after="40" w:before="40"/>
      </w:pPr>
      <w:r>
        <w:rPr>
          <w:rFonts w:ascii="Calibri" w:cs="Calibri" w:eastAsia="Calibri" w:hAnsi="Calibri"/>
          <w:color w:val="1A1A2E"/>
          <w:sz w:val="22"/>
          <w:szCs w:val="22"/>
        </w:rPr>
        <w:t xml:space="preserve">The Context Builder Agent aggregates daily/monthly signals into a per-employee annual context record — a frequency distribution of activity categories across the reporting window — in Annual mode for this POC.</w:t>
      </w:r>
    </w:p>
    <w:p>
      <w:pPr>
        <w:pStyle w:val="ListParagraph"/>
        <w:numPr>
          <w:ilvl w:val="0"/>
          <w:numId w:val="3"/>
        </w:numPr>
        <w:spacing w:after="40" w:before="40"/>
      </w:pPr>
      <w:r>
        <w:rPr>
          <w:rFonts w:ascii="Calibri" w:cs="Calibri" w:eastAsia="Calibri" w:hAnsi="Calibri"/>
          <w:color w:val="1A1A2E"/>
          <w:sz w:val="22"/>
          <w:szCs w:val="22"/>
        </w:rPr>
        <w:t xml:space="preserve">The Classification Agent applies the five-rule weighted scoring model to each context record, producing a raw classification score, CapEx/OpEx designation, and preliminary evidence note.</w:t>
      </w:r>
    </w:p>
    <w:p>
      <w:pPr>
        <w:pStyle w:val="ListParagraph"/>
        <w:numPr>
          <w:ilvl w:val="0"/>
          <w:numId w:val="3"/>
        </w:numPr>
        <w:spacing w:after="40" w:before="40"/>
      </w:pPr>
      <w:r>
        <w:rPr>
          <w:rFonts w:ascii="Calibri" w:cs="Calibri" w:eastAsia="Calibri" w:hAnsi="Calibri"/>
          <w:color w:val="1A1A2E"/>
          <w:sz w:val="22"/>
          <w:szCs w:val="22"/>
        </w:rPr>
        <w:t xml:space="preserve">The Policy &amp; Rules Agent overlays fixed-asset accounting rules and investment case constraints, potentially overriding or adjusting the base classification where accounting policy requires it.</w:t>
      </w:r>
    </w:p>
    <w:p>
      <w:pPr>
        <w:pStyle w:val="ListParagraph"/>
        <w:numPr>
          <w:ilvl w:val="0"/>
          <w:numId w:val="3"/>
        </w:numPr>
        <w:spacing w:after="40" w:before="40"/>
      </w:pPr>
      <w:r>
        <w:rPr>
          <w:rFonts w:ascii="Calibri" w:cs="Calibri" w:eastAsia="Calibri" w:hAnsi="Calibri"/>
          <w:color w:val="1A1A2E"/>
          <w:sz w:val="22"/>
          <w:szCs w:val="22"/>
        </w:rPr>
        <w:t xml:space="preserve">The Confidence &amp; Routing Agent evaluates the final confidence score and routes: records scoring ≥65% go to the output queue; 50–65% go to the ambiguous review queue for domain leads; &lt;50% go to the manual review escalation queue.</w:t>
      </w:r>
    </w:p>
    <w:p>
      <w:pPr>
        <w:pStyle w:val="ListParagraph"/>
        <w:numPr>
          <w:ilvl w:val="0"/>
          <w:numId w:val="3"/>
        </w:numPr>
        <w:spacing w:after="40" w:before="40"/>
      </w:pPr>
      <w:r>
        <w:rPr>
          <w:rFonts w:ascii="Calibri" w:cs="Calibri" w:eastAsia="Calibri" w:hAnsi="Calibri"/>
          <w:color w:val="1A1A2E"/>
          <w:sz w:val="22"/>
          <w:szCs w:val="22"/>
        </w:rPr>
        <w:t xml:space="preserve">Output records are written to the review surface for employees (high-confidence) or domain leads (ambiguous/low-confidence). All records — regardless of routing — are written to the audit log with full signal and rule version context.</w:t>
      </w:r>
    </w:p>
    <w:p>
      <w:r>
        <w:br w:type="page"/>
      </w:r>
    </w:p>
    <w:p>
      <w:pPr>
        <w:pStyle w:val="Heading1"/>
        <w:spacing w:after="160" w:before="400"/>
      </w:pPr>
      <w:r>
        <w:rPr>
          <w:rFonts w:ascii="Calibri" w:cs="Calibri" w:eastAsia="Calibri" w:hAnsi="Calibri"/>
          <w:b/>
          <w:bCs/>
          <w:color w:val="1F3864"/>
          <w:sz w:val="36"/>
          <w:szCs w:val="36"/>
        </w:rPr>
        <w:t xml:space="preserve">4. Architecture Diagram</w:t>
      </w:r>
    </w:p>
    <w:p>
      <w:pPr>
        <w:spacing w:after="80" w:before="60"/>
      </w:pPr>
      <w:r>
        <w:rPr>
          <w:rFonts w:ascii="Calibri" w:cs="Calibri" w:eastAsia="Calibri" w:hAnsi="Calibri"/>
          <w:color w:val="1A1A2E"/>
          <w:sz w:val="22"/>
          <w:szCs w:val="22"/>
        </w:rPr>
        <w:t xml:space="preserve">The following description represents the full system architecture diagram as submitted with this application. The diagram shows five horizontal swim lanes (Data Sources, Connector Framework, Agent Pipeline, Output Layer, User Interface) with vertical data flow connections and confidence-routing branches.</w:t>
      </w:r>
    </w:p>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4.1 Swim Lane Descriptions</w:t>
      </w:r>
    </w:p>
    <w:p>
      <w:pPr>
        <w:pStyle w:val="Heading3"/>
        <w:spacing w:after="80" w:before="200"/>
      </w:pPr>
      <w:r>
        <w:rPr>
          <w:rFonts w:ascii="Calibri" w:cs="Calibri" w:eastAsia="Calibri" w:hAnsi="Calibri"/>
          <w:b/>
          <w:bCs/>
          <w:color w:val="1A1A2E"/>
          <w:sz w:val="24"/>
          <w:szCs w:val="24"/>
        </w:rPr>
        <w:t xml:space="preserve">Lane 1 — Data Sources</w:t>
      </w:r>
    </w:p>
    <w:p>
      <w:pPr>
        <w:spacing w:after="80" w:before="60"/>
      </w:pPr>
      <w:r>
        <w:rPr>
          <w:rFonts w:ascii="Calibri" w:cs="Calibri" w:eastAsia="Calibri" w:hAnsi="Calibri"/>
          <w:color w:val="1A1A2E"/>
          <w:sz w:val="22"/>
          <w:szCs w:val="22"/>
        </w:rPr>
        <w:t xml:space="preserve">Contains: EAC_Dataset.xlsx (Excel file upload), Sample Forms .docx (10 survey form documents), HR Profile Database (stubbed), Fixed Asset Accounting Rules (versioned document store), Investment Case Registry (stubbed). Each source is colour-coded: green for active/functional, amber for stubbed.</w:t>
      </w:r>
    </w:p>
    <w:p>
      <w:pPr>
        <w:pStyle w:val="Heading3"/>
        <w:spacing w:after="80" w:before="200"/>
      </w:pPr>
      <w:r>
        <w:rPr>
          <w:rFonts w:ascii="Calibri" w:cs="Calibri" w:eastAsia="Calibri" w:hAnsi="Calibri"/>
          <w:b/>
          <w:bCs/>
          <w:color w:val="1A1A2E"/>
          <w:sz w:val="24"/>
          <w:szCs w:val="24"/>
        </w:rPr>
        <w:t xml:space="preserve">Lane 2 — Connector Framework</w:t>
      </w:r>
    </w:p>
    <w:p>
      <w:pPr>
        <w:spacing w:after="80" w:before="60"/>
      </w:pPr>
      <w:r>
        <w:rPr>
          <w:rFonts w:ascii="Calibri" w:cs="Calibri" w:eastAsia="Calibri" w:hAnsi="Calibri"/>
          <w:color w:val="1A1A2E"/>
          <w:sz w:val="22"/>
          <w:szCs w:val="22"/>
        </w:rPr>
        <w:t xml:space="preserve">Contains: Excel Connector Module, Form Parser Connector Module, HR Profile Connector (stub), Accounting Rules Connector (stub), Investment Context Connector (stub). All connectors output to the Unified ActivityRecord Schema bus. The connector interface contract (IConnector) is shown with its method signatures: connect(), validate(record), normalise(record), emit(record).</w:t>
      </w:r>
    </w:p>
    <w:p>
      <w:pPr>
        <w:pStyle w:val="Heading3"/>
        <w:spacing w:after="80" w:before="200"/>
      </w:pPr>
      <w:r>
        <w:rPr>
          <w:rFonts w:ascii="Calibri" w:cs="Calibri" w:eastAsia="Calibri" w:hAnsi="Calibri"/>
          <w:b/>
          <w:bCs/>
          <w:color w:val="1A1A2E"/>
          <w:sz w:val="24"/>
          <w:szCs w:val="24"/>
        </w:rPr>
        <w:t xml:space="preserve">Lane 3 — Agent Pipeline</w:t>
      </w:r>
    </w:p>
    <w:p>
      <w:pPr>
        <w:spacing w:after="80" w:before="60"/>
      </w:pPr>
      <w:r>
        <w:rPr>
          <w:rFonts w:ascii="Calibri" w:cs="Calibri" w:eastAsia="Calibri" w:hAnsi="Calibri"/>
          <w:color w:val="1A1A2E"/>
          <w:sz w:val="22"/>
          <w:szCs w:val="22"/>
        </w:rPr>
        <w:t xml:space="preserve">Contains six agent boxes in sequence: Data Harvesting Agent → Context Builder Agent → Classification Agent → Policy &amp; Rules Agent → Confidence &amp; Routing Agent → (branching) Output Queue / Ambiguous Queue / Manual Escalation Queue. The Flow Orchestrator is shown as a vertical control plane spanning all agents, with bidirectional control connections and a Run Manifest output.</w:t>
      </w:r>
    </w:p>
    <w:p>
      <w:pPr>
        <w:pStyle w:val="Heading3"/>
        <w:spacing w:after="80" w:before="200"/>
      </w:pPr>
      <w:r>
        <w:rPr>
          <w:rFonts w:ascii="Calibri" w:cs="Calibri" w:eastAsia="Calibri" w:hAnsi="Calibri"/>
          <w:b/>
          <w:bCs/>
          <w:color w:val="1A1A2E"/>
          <w:sz w:val="24"/>
          <w:szCs w:val="24"/>
        </w:rPr>
        <w:t xml:space="preserve">Lane 4 — Output Layer</w:t>
      </w:r>
    </w:p>
    <w:p>
      <w:pPr>
        <w:spacing w:after="80" w:before="60"/>
      </w:pPr>
      <w:r>
        <w:rPr>
          <w:rFonts w:ascii="Calibri" w:cs="Calibri" w:eastAsia="Calibri" w:hAnsi="Calibri"/>
          <w:color w:val="1A1A2E"/>
          <w:sz w:val="22"/>
          <w:szCs w:val="22"/>
        </w:rPr>
        <w:t xml:space="preserve">Contains: High-Confidence Output Store, Ambiguous Review Queue, Manual Escalation Queue, Audit Log (append-only). Arrows show: high-confidence output feeding the Employee Review UI; escalation queues feeding the Domain Lead View; all outputs feeding the Audit Log.</w:t>
      </w:r>
    </w:p>
    <w:p>
      <w:pPr>
        <w:pStyle w:val="Heading3"/>
        <w:spacing w:after="80" w:before="200"/>
      </w:pPr>
      <w:r>
        <w:rPr>
          <w:rFonts w:ascii="Calibri" w:cs="Calibri" w:eastAsia="Calibri" w:hAnsi="Calibri"/>
          <w:b/>
          <w:bCs/>
          <w:color w:val="1A1A2E"/>
          <w:sz w:val="24"/>
          <w:szCs w:val="24"/>
        </w:rPr>
        <w:t xml:space="preserve">Lane 5 — User Interface</w:t>
      </w:r>
    </w:p>
    <w:p>
      <w:pPr>
        <w:spacing w:after="80" w:before="60"/>
      </w:pPr>
      <w:r>
        <w:rPr>
          <w:rFonts w:ascii="Calibri" w:cs="Calibri" w:eastAsia="Calibri" w:hAnsi="Calibri"/>
          <w:color w:val="1A1A2E"/>
          <w:sz w:val="22"/>
          <w:szCs w:val="22"/>
        </w:rPr>
        <w:t xml:space="preserve">Contains: Upload &amp; Connect Tab, Classification Dashboard Tab, Form Parser Tab, Pipeline Visualisation Tab, Connector Panel Tab (Coming Soon), Audit Trail Tab. The Dashboard shows the capitalisation shift metric prominently.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34A" w:sz="6"/>
              <w:left w:val="single" w:color="E8834A" w:sz="16"/>
              <w:bottom w:val="single" w:color="E0E0E0" w:sz="2"/>
              <w:right w:val="single" w:color="E0E0E0" w:sz="2"/>
            </w:tcBorders>
            <w:shd w:fill="FFF8F0" w:val="clear"/>
            <w:tcMar>
              <w:top w:type="dxa" w:w="100"/>
              <w:left w:type="dxa" w:w="200"/>
              <w:bottom w:type="dxa" w:w="100"/>
              <w:right w:type="dxa" w:w="160"/>
            </w:tcMar>
          </w:tcPr>
          <w:p>
            <w:pPr>
              <w:spacing w:after="60" w:before="0"/>
            </w:pPr>
            <w:r>
              <w:rPr>
                <w:rFonts w:ascii="Calibri" w:cs="Calibri" w:eastAsia="Calibri" w:hAnsi="Calibri"/>
                <w:b/>
                <w:bCs/>
                <w:color w:val="E8834A"/>
                <w:sz w:val="22"/>
                <w:szCs w:val="22"/>
              </w:rPr>
              <w:t xml:space="preserve">Architecture Diagram Note</w:t>
            </w:r>
          </w:p>
          <w:p>
            <w:pPr>
              <w:spacing w:after="0" w:before="0"/>
            </w:pPr>
            <w:r>
              <w:rPr>
                <w:rFonts w:ascii="Calibri" w:cs="Calibri" w:eastAsia="Calibri" w:hAnsi="Calibri"/>
                <w:color w:val="444444"/>
                <w:sz w:val="20"/>
                <w:szCs w:val="20"/>
              </w:rPr>
              <w:t xml:space="preserve">The fully rendered, labelled architecture diagram is embedded in the live application under the 'Pipeline' tab, which shows an interactive version of the agent pipeline with data flow animations. The static diagram above is also included in the submitted architecture document for offline review.</w:t>
            </w:r>
          </w:p>
        </w:tc>
      </w:tr>
    </w:tbl>
    <w:p>
      <w:r>
        <w:br w:type="page"/>
      </w:r>
    </w:p>
    <w:p>
      <w:pPr>
        <w:pStyle w:val="Heading1"/>
        <w:spacing w:after="160" w:before="400"/>
      </w:pPr>
      <w:r>
        <w:rPr>
          <w:rFonts w:ascii="Calibri" w:cs="Calibri" w:eastAsia="Calibri" w:hAnsi="Calibri"/>
          <w:b/>
          <w:bCs/>
          <w:color w:val="1F3864"/>
          <w:sz w:val="36"/>
          <w:szCs w:val="36"/>
        </w:rPr>
        <w:t xml:space="preserve">5. Pluggable Connector Framework</w:t>
      </w:r>
    </w:p>
    <w:p>
      <w:pPr>
        <w:pStyle w:val="Heading2"/>
        <w:pBdr>
          <w:bottom w:val="single" w:color="2E5F8A" w:sz="4"/>
        </w:pBdr>
        <w:spacing w:after="100" w:before="280"/>
      </w:pPr>
      <w:r>
        <w:rPr>
          <w:rFonts w:ascii="Calibri" w:cs="Calibri" w:eastAsia="Calibri" w:hAnsi="Calibri"/>
          <w:b/>
          <w:bCs/>
          <w:color w:val="2E5F8A"/>
          <w:sz w:val="28"/>
          <w:szCs w:val="28"/>
        </w:rPr>
        <w:t xml:space="preserve">5.1 Design Philosophy</w:t>
      </w:r>
    </w:p>
    <w:p>
      <w:pPr>
        <w:spacing w:after="80" w:before="60"/>
      </w:pPr>
      <w:r>
        <w:rPr>
          <w:rFonts w:ascii="Calibri" w:cs="Calibri" w:eastAsia="Calibri" w:hAnsi="Calibri"/>
          <w:color w:val="1A1A2E"/>
          <w:sz w:val="22"/>
          <w:szCs w:val="22"/>
        </w:rPr>
        <w:t xml:space="preserve">The connector framework is the system's primary extensibility surface. The classification engine must remain source-agnostic — it cannot know whether a record originated from an Excel spreadsheet, a Slack export, a Jira project, a calendar export, or an HR system. The framework enforces this separation through a formal interface contract that all connectors must implement. Adding a new data source means implementing the IConnector interface — no changes to the engine, the agent pipeline, or the UI.</w:t>
      </w:r>
    </w:p>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5.2 The IConnector Interface Contract</w:t>
      </w:r>
    </w:p>
    <w:p>
      <w:pPr>
        <w:spacing w:after="80" w:before="60"/>
      </w:pPr>
      <w:r>
        <w:rPr>
          <w:rFonts w:ascii="Calibri" w:cs="Calibri" w:eastAsia="Calibri" w:hAnsi="Calibri"/>
          <w:color w:val="1A1A2E"/>
          <w:sz w:val="22"/>
          <w:szCs w:val="22"/>
        </w:rPr>
        <w:t xml:space="preserve">Every connector, whether functional or planned, implements the following interface. This contract is the extensibility boundary between the data layer and the processing layer: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Method</w:t>
            </w:r>
          </w:p>
        </w:tc>
        <w:tc>
          <w:tcPr>
            <w:tcW w:type="dxa" w:w="18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Input</w:t>
            </w:r>
          </w:p>
        </w:tc>
        <w:tc>
          <w:tcPr>
            <w:tcW w:type="dxa" w:w="18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Output</w:t>
            </w:r>
          </w:p>
        </w:tc>
        <w:tc>
          <w:tcPr>
            <w:tcW w:type="dxa" w:w="396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Description</w:t>
            </w:r>
          </w:p>
        </w:tc>
      </w:tr>
      <w:tr>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connect(config)</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ConnectorConfig object</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ConnectionStatus</w:t>
            </w:r>
          </w:p>
        </w:tc>
        <w:tc>
          <w:tcPr>
            <w:tcW w:type="dxa" w:w="39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Establishes connection to data source; validates credentials; tests read access; returns status with error detail if failed</w:t>
            </w:r>
          </w:p>
        </w:tc>
      </w:tr>
      <w:tr>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fetchRaw(params)</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FetchParams (date range, filters)</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RawRecord[]</w:t>
            </w:r>
          </w:p>
        </w:tc>
        <w:tc>
          <w:tcPr>
            <w:tcW w:type="dxa" w:w="39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Pulls raw data from source; returns unprocessed records in source-native format; handles pagination internally</w:t>
            </w:r>
          </w:p>
        </w:tc>
      </w:tr>
      <w:tr>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validate(record)</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RawRecord</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ValidationResult</w:t>
            </w:r>
          </w:p>
        </w:tc>
        <w:tc>
          <w:tcPr>
            <w:tcW w:type="dxa" w:w="39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Validates record against source-specific rules; checks required fields; returns pass/fail with field-level error detail</w:t>
            </w:r>
          </w:p>
        </w:tc>
      </w:tr>
      <w:tr>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normalise(record)</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RawRecord</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ActivityRecord</w:t>
            </w:r>
          </w:p>
        </w:tc>
        <w:tc>
          <w:tcPr>
            <w:tcW w:type="dxa" w:w="39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Maps source-specific field names to unified schema; applies type coercions; fills default values for optional fields; raises on unmappable required fields</w:t>
            </w:r>
          </w:p>
        </w:tc>
      </w:tr>
      <w:tr>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emit(record)</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ActivityRecord</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void</w:t>
            </w:r>
          </w:p>
        </w:tc>
        <w:tc>
          <w:tcPr>
            <w:tcW w:type="dxa" w:w="39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Writes normalised record to staging area; idempotent by record hash; handles duplicate detection</w:t>
            </w:r>
          </w:p>
        </w:tc>
      </w:tr>
      <w:tr>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getSchema()</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void</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ConnectorSchema</w:t>
            </w:r>
          </w:p>
        </w:tc>
        <w:tc>
          <w:tcPr>
            <w:tcW w:type="dxa" w:w="39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Returns the connector's field mapping documentation; used by the monitoring layer to display connector status and coverage</w:t>
            </w:r>
          </w:p>
        </w:tc>
      </w:tr>
    </w:tbl>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5.3 Active Connectors (Functional in POC)</w:t>
      </w:r>
    </w:p>
    <w:p>
      <w:pPr>
        <w:pStyle w:val="Heading3"/>
        <w:spacing w:after="80" w:before="200"/>
      </w:pPr>
      <w:r>
        <w:rPr>
          <w:rFonts w:ascii="Calibri" w:cs="Calibri" w:eastAsia="Calibri" w:hAnsi="Calibri"/>
          <w:b/>
          <w:bCs/>
          <w:color w:val="1A1A2E"/>
          <w:sz w:val="24"/>
          <w:szCs w:val="24"/>
        </w:rPr>
        <w:t xml:space="preserve">Excel Connector</w:t>
      </w:r>
    </w:p>
    <w:p>
      <w:pPr>
        <w:spacing w:after="80" w:before="60"/>
      </w:pPr>
      <w:r>
        <w:rPr>
          <w:rFonts w:ascii="Calibri" w:cs="Calibri" w:eastAsia="Calibri" w:hAnsi="Calibri"/>
          <w:color w:val="1A1A2E"/>
          <w:sz w:val="22"/>
          <w:szCs w:val="22"/>
        </w:rPr>
        <w:t xml:space="preserve">Ingests EAC_Dataset.xlsx using the SheetJS/xlsx library. Reads the first worksheet, validates column headers against the 39-field ActivityRecord schema, coerces numeric fields, maps date fields to ISO format, and stages clean records. Handles: negative Actual Spend values (reversals), blank optional fields, and partial rows. Emits one ActivityRecord per data row.</w:t>
      </w:r>
    </w:p>
    <w:p>
      <w:pPr>
        <w:spacing w:after="40" w:before="40"/>
      </w:pPr>
    </w:p>
    <w:p>
      <w:pPr>
        <w:pStyle w:val="Heading3"/>
        <w:spacing w:after="80" w:before="200"/>
      </w:pPr>
      <w:r>
        <w:rPr>
          <w:rFonts w:ascii="Calibri" w:cs="Calibri" w:eastAsia="Calibri" w:hAnsi="Calibri"/>
          <w:b/>
          <w:bCs/>
          <w:color w:val="1A1A2E"/>
          <w:sz w:val="24"/>
          <w:szCs w:val="24"/>
        </w:rPr>
        <w:t xml:space="preserve">Form Parser Connector</w:t>
      </w:r>
    </w:p>
    <w:p>
      <w:pPr>
        <w:spacing w:after="80" w:before="60"/>
      </w:pPr>
      <w:r>
        <w:rPr>
          <w:rFonts w:ascii="Calibri" w:cs="Calibri" w:eastAsia="Calibri" w:hAnsi="Calibri"/>
          <w:color w:val="1A1A2E"/>
          <w:sz w:val="22"/>
          <w:szCs w:val="22"/>
        </w:rPr>
        <w:t xml:space="preserve">Extracts structured data from .docx survey forms using section-header and question-number parsing. Each form contains 8 sections and 39 questions with narrative-embedded responses. The parser identifies question blocks by Q-number prefix (Q1, Q2... Q39), extracts the response clause following the question label, and maps each extracted value to the corresponding ActivityRecord field. The parser handles: free-form narrative answers (extracts numeric values with regex), multi-sentence responses (uses first sentence), and missing optional fields (assigns null). Post-extraction, each record is validated against the schema and compared against the corresponding Excel row for match verification.</w:t>
      </w:r>
    </w:p>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5.4 Coming Soon Connectors (Documented Stubs)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2760"/>
        <w:gridCol w:w="1600"/>
      </w:tblGrid>
      <w:tr>
        <w:trPr>
          <w:tblHeader/>
        </w:trPr>
        <w:tc>
          <w:tcPr>
            <w:tcW w:type="dxa" w:w="14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Connector</w:t>
            </w:r>
          </w:p>
        </w:tc>
        <w:tc>
          <w:tcPr>
            <w:tcW w:type="dxa" w:w="16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Data Type</w:t>
            </w:r>
          </w:p>
        </w:tc>
        <w:tc>
          <w:tcPr>
            <w:tcW w:type="dxa" w:w="20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Integration Method</w:t>
            </w:r>
          </w:p>
        </w:tc>
        <w:tc>
          <w:tcPr>
            <w:tcW w:type="dxa" w:w="276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What It Adds</w:t>
            </w:r>
          </w:p>
        </w:tc>
        <w:tc>
          <w:tcPr>
            <w:tcW w:type="dxa" w:w="16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Priority</w:t>
            </w:r>
          </w:p>
        </w:tc>
      </w:tr>
      <w:tr>
        <w:tc>
          <w:tcPr>
            <w:tcW w:type="dxa" w:w="14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Google Drive</w:t>
            </w:r>
          </w:p>
        </w:tc>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Survey forms, design documents</w:t>
            </w:r>
          </w:p>
        </w:tc>
        <w:tc>
          <w:tcPr>
            <w:tcW w:type="dxa" w:w="20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Google Drive API v3 — folder watch + file download</w:t>
            </w:r>
          </w:p>
        </w:tc>
        <w:tc>
          <w:tcPr>
            <w:tcW w:type="dxa" w:w="27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Automatic form ingestion from shared Drive folders; no manual upload required</w:t>
            </w:r>
          </w:p>
        </w:tc>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High</w:t>
            </w:r>
          </w:p>
        </w:tc>
      </w:tr>
      <w:tr>
        <w:tc>
          <w:tcPr>
            <w:tcW w:type="dxa" w:w="14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Google Sheets</w:t>
            </w:r>
          </w:p>
        </w:tc>
        <w:tc>
          <w:tcPr>
            <w:tcW w:type="dxa" w:w="1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Activity logs, project trackers</w:t>
            </w:r>
          </w:p>
        </w:tc>
        <w:tc>
          <w:tcPr>
            <w:tcW w:type="dxa" w:w="20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Sheets API v4 — spreadsheet read with named range support</w:t>
            </w:r>
          </w:p>
        </w:tc>
        <w:tc>
          <w:tcPr>
            <w:tcW w:type="dxa" w:w="27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Live spreadsheet data without file upload; enables near-real-time connector refresh</w:t>
            </w:r>
          </w:p>
        </w:tc>
        <w:tc>
          <w:tcPr>
            <w:tcW w:type="dxa" w:w="1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High</w:t>
            </w:r>
          </w:p>
        </w:tc>
      </w:tr>
      <w:tr>
        <w:tc>
          <w:tcPr>
            <w:tcW w:type="dxa" w:w="14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BigQuery</w:t>
            </w:r>
          </w:p>
        </w:tc>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Data warehouse tables</w:t>
            </w:r>
          </w:p>
        </w:tc>
        <w:tc>
          <w:tcPr>
            <w:tcW w:type="dxa" w:w="20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BigQuery REST API — parameterised SQL queries</w:t>
            </w:r>
          </w:p>
        </w:tc>
        <w:tc>
          <w:tcPr>
            <w:tcW w:type="dxa" w:w="27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Production-scale data access; enables query-level filtering for date ranges and employee populations</w:t>
            </w:r>
          </w:p>
        </w:tc>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High</w:t>
            </w:r>
          </w:p>
        </w:tc>
      </w:tr>
      <w:tr>
        <w:tc>
          <w:tcPr>
            <w:tcW w:type="dxa" w:w="14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SharePoint / OneDrive</w:t>
            </w:r>
          </w:p>
        </w:tc>
        <w:tc>
          <w:tcPr>
            <w:tcW w:type="dxa" w:w="1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Forms, policy documents, emails</w:t>
            </w:r>
          </w:p>
        </w:tc>
        <w:tc>
          <w:tcPr>
            <w:tcW w:type="dxa" w:w="20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Microsoft Graph API — file and list connectors</w:t>
            </w:r>
          </w:p>
        </w:tc>
        <w:tc>
          <w:tcPr>
            <w:tcW w:type="dxa" w:w="27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Enterprise document library integration; Microsoft 365 environment compatibility</w:t>
            </w:r>
          </w:p>
        </w:tc>
        <w:tc>
          <w:tcPr>
            <w:tcW w:type="dxa" w:w="1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Medium</w:t>
            </w:r>
          </w:p>
        </w:tc>
      </w:tr>
      <w:tr>
        <w:tc>
          <w:tcPr>
            <w:tcW w:type="dxa" w:w="14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Jira</w:t>
            </w:r>
          </w:p>
        </w:tc>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Project tickets, sprint records</w:t>
            </w:r>
          </w:p>
        </w:tc>
        <w:tc>
          <w:tcPr>
            <w:tcW w:type="dxa" w:w="20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Jira REST API v3 — issue search and project context</w:t>
            </w:r>
          </w:p>
        </w:tc>
        <w:tc>
          <w:tcPr>
            <w:tcW w:type="dxa" w:w="27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Capital project ticket signals; engineer ticket volume and type as classification inputs</w:t>
            </w:r>
          </w:p>
        </w:tc>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Medium</w:t>
            </w:r>
          </w:p>
        </w:tc>
      </w:tr>
      <w:tr>
        <w:tc>
          <w:tcPr>
            <w:tcW w:type="dxa" w:w="14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Confluence</w:t>
            </w:r>
          </w:p>
        </w:tc>
        <w:tc>
          <w:tcPr>
            <w:tcW w:type="dxa" w:w="1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Technical specifications, project pages</w:t>
            </w:r>
          </w:p>
        </w:tc>
        <w:tc>
          <w:tcPr>
            <w:tcW w:type="dxa" w:w="20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Confluence REST API — space and page content</w:t>
            </w:r>
          </w:p>
        </w:tc>
        <w:tc>
          <w:tcPr>
            <w:tcW w:type="dxa" w:w="27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Project documentation context; design specification authorship as CapEx signal</w:t>
            </w:r>
          </w:p>
        </w:tc>
        <w:tc>
          <w:tcPr>
            <w:tcW w:type="dxa" w:w="1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Low</w:t>
            </w:r>
          </w:p>
        </w:tc>
      </w:tr>
      <w:tr>
        <w:tc>
          <w:tcPr>
            <w:tcW w:type="dxa" w:w="14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Slack</w:t>
            </w:r>
          </w:p>
        </w:tc>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Channel messages, project discussions</w:t>
            </w:r>
          </w:p>
        </w:tc>
        <w:tc>
          <w:tcPr>
            <w:tcW w:type="dxa" w:w="20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Slack Web API — channel history export</w:t>
            </w:r>
          </w:p>
        </w:tc>
        <w:tc>
          <w:tcPr>
            <w:tcW w:type="dxa" w:w="27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Communication pattern signals; project code mentions; contractor coordination activity</w:t>
            </w:r>
          </w:p>
        </w:tc>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Low</w:t>
            </w:r>
          </w:p>
        </w:tc>
      </w:tr>
    </w:tbl>
    <w:p>
      <w:r>
        <w:br w:type="page"/>
      </w:r>
    </w:p>
    <w:p>
      <w:pPr>
        <w:pStyle w:val="Heading1"/>
        <w:spacing w:after="160" w:before="400"/>
      </w:pPr>
      <w:r>
        <w:rPr>
          <w:rFonts w:ascii="Calibri" w:cs="Calibri" w:eastAsia="Calibri" w:hAnsi="Calibri"/>
          <w:b/>
          <w:bCs/>
          <w:color w:val="1F3864"/>
          <w:sz w:val="36"/>
          <w:szCs w:val="36"/>
        </w:rPr>
        <w:t xml:space="preserve">6. Data Enrichment Pipeline</w:t>
      </w:r>
    </w:p>
    <w:p>
      <w:pPr>
        <w:pStyle w:val="Heading2"/>
        <w:pBdr>
          <w:bottom w:val="single" w:color="2E5F8A" w:sz="4"/>
        </w:pBdr>
        <w:spacing w:after="100" w:before="280"/>
      </w:pPr>
      <w:r>
        <w:rPr>
          <w:rFonts w:ascii="Calibri" w:cs="Calibri" w:eastAsia="Calibri" w:hAnsi="Calibri"/>
          <w:b/>
          <w:bCs/>
          <w:color w:val="2E5F8A"/>
          <w:sz w:val="28"/>
          <w:szCs w:val="28"/>
        </w:rPr>
        <w:t xml:space="preserve">6.1 Overview</w:t>
      </w:r>
    </w:p>
    <w:p>
      <w:pPr>
        <w:spacing w:after="80" w:before="60"/>
      </w:pPr>
      <w:r>
        <w:rPr>
          <w:rFonts w:ascii="Calibri" w:cs="Calibri" w:eastAsia="Calibri" w:hAnsi="Calibri"/>
          <w:color w:val="1A1A2E"/>
          <w:sz w:val="22"/>
          <w:szCs w:val="22"/>
        </w:rPr>
        <w:t xml:space="preserve">The data enrichment pipeline transforms raw connector output — field-validated ActivityRecord structs — into fully-contextualised, classification-ready records. This pipeline runs between the connector layer and the Classification Agent. It has six distinct stages, each with a defined input contract, transformation logic, output contract, and failure behaviour. At enterprise scale, each stage would be implemented as an independent microservice behind an event-driven message bus, enabling horizontal scaling of the most computationally expensive stages independently.</w:t>
      </w:r>
    </w:p>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6.2 Pipeline Stages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200"/>
        <w:gridCol w:w="2000"/>
        <w:gridCol w:w="2460"/>
      </w:tblGrid>
      <w:tr>
        <w:trPr>
          <w:tblHeader/>
        </w:trPr>
        <w:tc>
          <w:tcPr>
            <w:tcW w:type="dxa" w:w="12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Stage</w:t>
            </w:r>
          </w:p>
        </w:tc>
        <w:tc>
          <w:tcPr>
            <w:tcW w:type="dxa" w:w="15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Input</w:t>
            </w:r>
          </w:p>
        </w:tc>
        <w:tc>
          <w:tcPr>
            <w:tcW w:type="dxa" w:w="22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Transformation</w:t>
            </w:r>
          </w:p>
        </w:tc>
        <w:tc>
          <w:tcPr>
            <w:tcW w:type="dxa" w:w="20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Output</w:t>
            </w:r>
          </w:p>
        </w:tc>
        <w:tc>
          <w:tcPr>
            <w:tcW w:type="dxa" w:w="246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Enterprise Scale Consideration</w:t>
            </w:r>
          </w:p>
        </w:tc>
      </w:tr>
      <w:tr>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1. Schema Validation</w:t>
            </w:r>
          </w:p>
        </w:tc>
        <w:tc>
          <w:tcPr>
            <w:tcW w:type="dxa" w:w="15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Raw ActivityRecord from connector</w:t>
            </w:r>
          </w:p>
        </w:tc>
        <w:tc>
          <w:tcPr>
            <w:tcW w:type="dxa" w:w="2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Field presence check; type validation; range checks (CapEx% 0–100, hours &gt; 0, fiscal month 1–12); referential integrity checks against known initiative IDs</w:t>
            </w:r>
          </w:p>
        </w:tc>
        <w:tc>
          <w:tcPr>
            <w:tcW w:type="dxa" w:w="20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Validated record or rejection with field-level error map</w:t>
            </w:r>
          </w:p>
        </w:tc>
        <w:tc>
          <w:tcPr>
            <w:tcW w:type="dxa" w:w="24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Runs as synchronous gate before staging; failures write to dead-letter queue for human review; rejection rate tracked as connector health metric</w:t>
            </w:r>
          </w:p>
        </w:tc>
      </w:tr>
      <w:tr>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2. Field Normalisation</w:t>
            </w:r>
          </w:p>
        </w:tc>
        <w:tc>
          <w:tcPr>
            <w:tcW w:type="dxa" w:w="15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Validated ActivityRecord</w:t>
            </w:r>
          </w:p>
        </w:tc>
        <w:tc>
          <w:tcPr>
            <w:tcW w:type="dxa" w:w="2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String normalisation (uppercase city/state, trim whitespace); date format standardisation (ISO 8601); currency value cleaning (remove $, commas); engineer ID format enforcement (ENG-NNNNN pattern)</w:t>
            </w:r>
          </w:p>
        </w:tc>
        <w:tc>
          <w:tcPr>
            <w:tcW w:type="dxa" w:w="20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Normalised ActivityRecord with clean, consistent values</w:t>
            </w:r>
          </w:p>
        </w:tc>
        <w:tc>
          <w:tcPr>
            <w:tcW w:type="dxa" w:w="24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Stateless transformation; infinitely parallelisable; target latency &lt;10ms per record; no external dependencies</w:t>
            </w:r>
          </w:p>
        </w:tc>
      </w:tr>
      <w:tr>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3. Activity Signal Weighting</w:t>
            </w:r>
          </w:p>
        </w:tc>
        <w:tc>
          <w:tcPr>
            <w:tcW w:type="dxa" w:w="15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Normalised ActivityRecord</w:t>
            </w:r>
          </w:p>
        </w:tc>
        <w:tc>
          <w:tcPr>
            <w:tcW w:type="dxa" w:w="2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Apply per-field weight coefficients from PersonaConfig; compute weighted signal score for each classification rule dimension; normalise to 0–1 scale per dimension</w:t>
            </w:r>
          </w:p>
        </w:tc>
        <w:tc>
          <w:tcPr>
            <w:tcW w:type="dxa" w:w="20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ActivityRecord enriched with SignalWeights map</w:t>
            </w:r>
          </w:p>
        </w:tc>
        <w:tc>
          <w:tcPr>
            <w:tcW w:type="dxa" w:w="24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Weight coefficients are versioned in the PersonaConfig store; changing weights for a persona requires no code deployment — config update only; enables A/B testing of rule versions</w:t>
            </w:r>
          </w:p>
        </w:tc>
      </w:tr>
      <w:tr>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4. HR Context Injection</w:t>
            </w:r>
          </w:p>
        </w:tc>
        <w:tc>
          <w:tcPr>
            <w:tcW w:type="dxa" w:w="15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Signal-weighted ActivityRecord</w:t>
            </w:r>
          </w:p>
        </w:tc>
        <w:tc>
          <w:tcPr>
            <w:tcW w:type="dxa" w:w="2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Look up engineer's current job title, job family, org unit, and manager from HR profile store; attach to record as HRContext; flag if HR record missing or stale (&gt;30 days)</w:t>
            </w:r>
          </w:p>
        </w:tc>
        <w:tc>
          <w:tcPr>
            <w:tcW w:type="dxa" w:w="20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ActivityRecord with attached HRContext</w:t>
            </w:r>
          </w:p>
        </w:tc>
        <w:tc>
          <w:tcPr>
            <w:tcW w:type="dxa" w:w="24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Production: real-time HR API call with 24-hour cache; cache miss triggers async refresh; stale records classified with reduced confidence and HR-context-missing flag in evidence trail</w:t>
            </w:r>
          </w:p>
        </w:tc>
      </w:tr>
      <w:tr>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5. Investment Context Injection</w:t>
            </w:r>
          </w:p>
        </w:tc>
        <w:tc>
          <w:tcPr>
            <w:tcW w:type="dxa" w:w="15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HR-enriched ActivityRecord</w:t>
            </w:r>
          </w:p>
        </w:tc>
        <w:tc>
          <w:tcPr>
            <w:tcW w:type="dxa" w:w="2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Look up initiative's funding category, CapEx/OpEx designation, approved budget, and asset class from Investment Registry; attach as InvestmentContext; flag if initiative unknown</w:t>
            </w:r>
          </w:p>
        </w:tc>
        <w:tc>
          <w:tcPr>
            <w:tcW w:type="dxa" w:w="20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ActivityRecord with attached InvestmentContext</w:t>
            </w:r>
          </w:p>
        </w:tc>
        <w:tc>
          <w:tcPr>
            <w:tcW w:type="dxa" w:w="24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Production: Investment Registry is updated nightly from the capital management system; connector reads from local cache; unknown initiative IDs trigger alert to capital program managers</w:t>
            </w:r>
          </w:p>
        </w:tc>
      </w:tr>
      <w:tr>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6. Classification Readiness Check</w:t>
            </w:r>
          </w:p>
        </w:tc>
        <w:tc>
          <w:tcPr>
            <w:tcW w:type="dxa" w:w="15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Fully-enriched ActivityRecord</w:t>
            </w:r>
          </w:p>
        </w:tc>
        <w:tc>
          <w:tcPr>
            <w:tcW w:type="dxa" w:w="2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Verify all mandatory classification inputs are present and non-null; compute classification-readiness score (0–100%) based on proportion of optional enrichment fields populated; flag records below 70% readiness for confidence penalty</w:t>
            </w:r>
          </w:p>
        </w:tc>
        <w:tc>
          <w:tcPr>
            <w:tcW w:type="dxa" w:w="20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Classification-ready record with readiness score; low-readiness records receive automatic confidence penalty in Classification Agent</w:t>
            </w:r>
          </w:p>
        </w:tc>
        <w:tc>
          <w:tcPr>
            <w:tcW w:type="dxa" w:w="24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Readiness score feeds into confidence calculation; systematically low readiness for a connector signals a data quality issue to the monitoring team</w:t>
            </w:r>
          </w:p>
        </w:tc>
      </w:tr>
    </w:tbl>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6.3 Enterprise Scale Design</w:t>
      </w:r>
    </w:p>
    <w:p>
      <w:pPr>
        <w:spacing w:after="80" w:before="60"/>
      </w:pPr>
      <w:r>
        <w:rPr>
          <w:rFonts w:ascii="Calibri" w:cs="Calibri" w:eastAsia="Calibri" w:hAnsi="Calibri"/>
          <w:color w:val="1A1A2E"/>
          <w:sz w:val="22"/>
          <w:szCs w:val="22"/>
        </w:rPr>
        <w:t xml:space="preserve">At production scale across 21,000+ employees and multiple months of history, the enrichment pipeline processes millions of records nightly. The following architectural decisions support this scale:</w:t>
      </w:r>
    </w:p>
    <w:p>
      <w:pPr>
        <w:pStyle w:val="ListParagraph"/>
        <w:numPr>
          <w:ilvl w:val="0"/>
          <w:numId w:val="2"/>
        </w:numPr>
        <w:spacing w:after="40" w:before="40"/>
      </w:pPr>
      <w:r>
        <w:rPr>
          <w:rFonts w:ascii="Calibri" w:cs="Calibri" w:eastAsia="Calibri" w:hAnsi="Calibri"/>
          <w:color w:val="1A1A2E"/>
          <w:sz w:val="22"/>
          <w:szCs w:val="22"/>
        </w:rPr>
        <w:t xml:space="preserve">Event-driven architecture: Each stage publishes to a message topic; the next stage subscribes. This decouples stages and enables independent scaling. A spike in form document submissions scales only the Form Parser and Schema Validation stages, not the Classification or HR Context stages.</w:t>
      </w:r>
    </w:p>
    <w:p>
      <w:pPr>
        <w:pStyle w:val="ListParagraph"/>
        <w:numPr>
          <w:ilvl w:val="0"/>
          <w:numId w:val="2"/>
        </w:numPr>
        <w:spacing w:after="40" w:before="40"/>
      </w:pPr>
      <w:r>
        <w:rPr>
          <w:rFonts w:ascii="Calibri" w:cs="Calibri" w:eastAsia="Calibri" w:hAnsi="Calibri"/>
          <w:color w:val="1A1A2E"/>
          <w:sz w:val="22"/>
          <w:szCs w:val="22"/>
        </w:rPr>
        <w:t xml:space="preserve">Idempotency by record hash: Each ActivityRecord is hashed on its content fields. The staging area rejects duplicate hashes, enabling safe reprocessing of failed batches without double-counting.</w:t>
      </w:r>
    </w:p>
    <w:p>
      <w:pPr>
        <w:pStyle w:val="ListParagraph"/>
        <w:numPr>
          <w:ilvl w:val="0"/>
          <w:numId w:val="2"/>
        </w:numPr>
        <w:spacing w:after="40" w:before="40"/>
      </w:pPr>
      <w:r>
        <w:rPr>
          <w:rFonts w:ascii="Calibri" w:cs="Calibri" w:eastAsia="Calibri" w:hAnsi="Calibri"/>
          <w:color w:val="1A1A2E"/>
          <w:sz w:val="22"/>
          <w:szCs w:val="22"/>
        </w:rPr>
        <w:t xml:space="preserve">Partial failure handling: If HR Context Injection fails for 5% of records due to an API timeout, those records are classified with reduced confidence rather than dropped. The pipeline never blocks on optional enrichment.</w:t>
      </w:r>
    </w:p>
    <w:p>
      <w:pPr>
        <w:pStyle w:val="ListParagraph"/>
        <w:numPr>
          <w:ilvl w:val="0"/>
          <w:numId w:val="2"/>
        </w:numPr>
        <w:spacing w:after="40" w:before="40"/>
      </w:pPr>
      <w:r>
        <w:rPr>
          <w:rFonts w:ascii="Calibri" w:cs="Calibri" w:eastAsia="Calibri" w:hAnsi="Calibri"/>
          <w:color w:val="1A1A2E"/>
          <w:sz w:val="22"/>
          <w:szCs w:val="22"/>
        </w:rPr>
        <w:t xml:space="preserve">Enrichment cache warming: The Orchestrator pre-warms HR and Investment caches 2 hours before the nightly batch run, ensuring the high-latency lookup stages hit cache rather than source APIs during peak processing.</w:t>
      </w:r>
    </w:p>
    <w:p>
      <w:pPr>
        <w:pStyle w:val="ListParagraph"/>
        <w:numPr>
          <w:ilvl w:val="0"/>
          <w:numId w:val="2"/>
        </w:numPr>
        <w:spacing w:after="40" w:before="40"/>
      </w:pPr>
      <w:r>
        <w:rPr>
          <w:rFonts w:ascii="Calibri" w:cs="Calibri" w:eastAsia="Calibri" w:hAnsi="Calibri"/>
          <w:color w:val="1A1A2E"/>
          <w:sz w:val="22"/>
          <w:szCs w:val="22"/>
        </w:rPr>
        <w:t xml:space="preserve">Dead-letter queue: Records that fail Schema Validation are written to a dead-letter queue for human review. A Slack alert is sent to the connector owner when the dead-letter queue exceeds a configured threshold.</w:t>
      </w:r>
    </w:p>
    <w:p>
      <w:r>
        <w:br w:type="page"/>
      </w:r>
    </w:p>
    <w:p>
      <w:pPr>
        <w:pStyle w:val="Heading1"/>
        <w:spacing w:after="160" w:before="400"/>
      </w:pPr>
      <w:r>
        <w:rPr>
          <w:rFonts w:ascii="Calibri" w:cs="Calibri" w:eastAsia="Calibri" w:hAnsi="Calibri"/>
          <w:b/>
          <w:bCs/>
          <w:color w:val="1F3864"/>
          <w:sz w:val="36"/>
          <w:szCs w:val="36"/>
        </w:rPr>
        <w:t xml:space="preserve">7. CapEx/OpEx Classification Engine</w:t>
      </w:r>
    </w:p>
    <w:p>
      <w:pPr>
        <w:pStyle w:val="Heading2"/>
        <w:pBdr>
          <w:bottom w:val="single" w:color="2E5F8A" w:sz="4"/>
        </w:pBdr>
        <w:spacing w:after="100" w:before="280"/>
      </w:pPr>
      <w:r>
        <w:rPr>
          <w:rFonts w:ascii="Calibri" w:cs="Calibri" w:eastAsia="Calibri" w:hAnsi="Calibri"/>
          <w:b/>
          <w:bCs/>
          <w:color w:val="2E5F8A"/>
          <w:sz w:val="28"/>
          <w:szCs w:val="28"/>
        </w:rPr>
        <w:t xml:space="preserve">7.1 Design Principles</w:t>
      </w:r>
    </w:p>
    <w:p>
      <w:pPr>
        <w:spacing w:after="80" w:before="60"/>
      </w:pPr>
      <w:r>
        <w:rPr>
          <w:rFonts w:ascii="Calibri" w:cs="Calibri" w:eastAsia="Calibri" w:hAnsi="Calibri"/>
          <w:color w:val="1A1A2E"/>
          <w:sz w:val="22"/>
          <w:szCs w:val="22"/>
        </w:rPr>
        <w:t xml:space="preserve">The classification engine is the system's primary deliverable. It is designed as a rule-based weighted scoring engine with five orthogonal rule dimensions, each grounded in US GAAP and telco-specific accounting guidance. The engine is persona-configurable: rule weights, thresholds, and applicable rule sets are controlled by a PersonaConfig object — changing persona behaviour requires no code changes.</w:t>
      </w:r>
    </w:p>
    <w:p>
      <w:pPr>
        <w:spacing w:after="40" w:before="40"/>
      </w:pPr>
    </w:p>
    <w:p>
      <w:pPr>
        <w:spacing w:after="80" w:before="60"/>
      </w:pPr>
      <w:r>
        <w:rPr>
          <w:rFonts w:ascii="Calibri" w:cs="Calibri" w:eastAsia="Calibri" w:hAnsi="Calibri"/>
          <w:color w:val="1A1A2E"/>
          <w:sz w:val="22"/>
          <w:szCs w:val="22"/>
        </w:rPr>
        <w:t xml:space="preserve">The choice of a rule-based approach over a pure ML approach was deliberate. The accounting rules governing CapEx capitalisation are deterministic and auditable — a classifier that cannot cite a specific accounting rule for its decision cannot be defended in an audit. The rule-based engine provides both high accuracy for the dominant patterns and a complete, human-readable evidence trail for every classification.</w:t>
      </w:r>
    </w:p>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7.2 The Five Classification Rules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800"/>
        <w:gridCol w:w="1700"/>
        <w:gridCol w:w="1700"/>
        <w:gridCol w:w="1960"/>
      </w:tblGrid>
      <w:tr>
        <w:trPr>
          <w:tblHeader/>
        </w:trPr>
        <w:tc>
          <w:tcPr>
            <w:tcW w:type="dxa" w:w="14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Rule</w:t>
            </w:r>
          </w:p>
        </w:tc>
        <w:tc>
          <w:tcPr>
            <w:tcW w:type="dxa" w:w="7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Weight</w:t>
            </w:r>
          </w:p>
        </w:tc>
        <w:tc>
          <w:tcPr>
            <w:tcW w:type="dxa" w:w="18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Signal Source</w:t>
            </w:r>
          </w:p>
        </w:tc>
        <w:tc>
          <w:tcPr>
            <w:tcW w:type="dxa" w:w="17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CapEx Determination</w:t>
            </w:r>
          </w:p>
        </w:tc>
        <w:tc>
          <w:tcPr>
            <w:tcW w:type="dxa" w:w="17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OpEx Determination</w:t>
            </w:r>
          </w:p>
        </w:tc>
        <w:tc>
          <w:tcPr>
            <w:tcW w:type="dxa" w:w="196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Accounting Basis</w:t>
            </w:r>
          </w:p>
        </w:tc>
      </w:tr>
      <w:tr>
        <w:tc>
          <w:tcPr>
            <w:tcW w:type="dxa" w:w="14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R1: CapEx Eligible %</w:t>
            </w:r>
          </w:p>
        </w:tc>
        <w:tc>
          <w:tcPr>
            <w:tcW w:type="dxa" w:w="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35%</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CapEx_Eligible_Pct field (self-reported in form or Excel)</w:t>
            </w:r>
          </w:p>
        </w:tc>
        <w:tc>
          <w:tcPr>
            <w:tcW w:type="dxa" w:w="1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 75%: strong CapEx signal; ≥ 85%: confidence boost +8pts</w:t>
            </w:r>
          </w:p>
        </w:tc>
        <w:tc>
          <w:tcPr>
            <w:tcW w:type="dxa" w:w="1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 40%: strong OpEx signal; ≤ 20%: confidence boost +8pts</w:t>
            </w:r>
          </w:p>
        </w:tc>
        <w:tc>
          <w:tcPr>
            <w:tcW w:type="dxa" w:w="19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ASC 350/360: labor directly attributable to placing an asset in service qualifies for capitalisation; self-reported eligibility is the primary accounting attestation</w:t>
            </w:r>
          </w:p>
        </w:tc>
      </w:tr>
      <w:tr>
        <w:tc>
          <w:tcPr>
            <w:tcW w:type="dxa" w:w="14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R2: VZZ Cost Class</w:t>
            </w:r>
          </w:p>
        </w:tc>
        <w:tc>
          <w:tcPr>
            <w:tcW w:type="dxa" w:w="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20%</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VZZ_CostClass field (Expansion, Replacement, Maintenance, Network Ops)</w:t>
            </w:r>
          </w:p>
        </w:tc>
        <w:tc>
          <w:tcPr>
            <w:tcW w:type="dxa" w:w="1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Expansion or Replacement: CapEx-aligned; new capacity or asset replacement creates long-lived value</w:t>
            </w:r>
          </w:p>
        </w:tc>
        <w:tc>
          <w:tcPr>
            <w:tcW w:type="dxa" w:w="1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Maintenance or Network Ops: OpEx-aligned; sustaining existing capacity is an operating cost</w:t>
            </w:r>
          </w:p>
        </w:tc>
        <w:tc>
          <w:tcPr>
            <w:tcW w:type="dxa" w:w="19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IRS Rev. Proc. 2015-82 (safe harbor for maintenance vs. improvement); Expansion and Replacement map to betterment and restoration — both capitalised under GAAP</w:t>
            </w:r>
          </w:p>
        </w:tc>
      </w:tr>
      <w:tr>
        <w:tc>
          <w:tcPr>
            <w:tcW w:type="dxa" w:w="14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R3: Activity Type</w:t>
            </w:r>
          </w:p>
        </w:tc>
        <w:tc>
          <w:tcPr>
            <w:tcW w:type="dxa" w:w="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20%</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Activity_Type field (Build Milestone, Store Visit, Drive Test, Analysis Report, PO Processing, Site Survey)</w:t>
            </w:r>
          </w:p>
        </w:tc>
        <w:tc>
          <w:tcPr>
            <w:tcW w:type="dxa" w:w="1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Build Milestone, Site Survey: direct construction activity; labor on new asset construction is capitalised</w:t>
            </w:r>
          </w:p>
        </w:tc>
        <w:tc>
          <w:tcPr>
            <w:tcW w:type="dxa" w:w="1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Drive Test (standalone), PO Processing: operational maintenance activities; do not create new assets</w:t>
            </w:r>
          </w:p>
        </w:tc>
        <w:tc>
          <w:tcPr>
            <w:tcW w:type="dxa" w:w="19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ASC 360-10-25: costs directly associated with construction of assets are part of the asset's cost basis; operational testing and PO processing are period costs</w:t>
            </w:r>
          </w:p>
        </w:tc>
      </w:tr>
      <w:tr>
        <w:tc>
          <w:tcPr>
            <w:tcW w:type="dxa" w:w="14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R4: Labor Survey Category</w:t>
            </w:r>
          </w:p>
        </w:tc>
        <w:tc>
          <w:tcPr>
            <w:tcW w:type="dxa" w:w="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15%</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LaborSurvey_Category field (New Construction, Engineering &amp; Design, Project Management, Replacement, Analysis Report)</w:t>
            </w:r>
          </w:p>
        </w:tc>
        <w:tc>
          <w:tcPr>
            <w:tcW w:type="dxa" w:w="1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New Construction, Engineering &amp; Design, Replacement: capital labor categories per GAAP guidance</w:t>
            </w:r>
          </w:p>
        </w:tc>
        <w:tc>
          <w:tcPr>
            <w:tcW w:type="dxa" w:w="1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Project Management (standalone), Analysis Report: depends on context; PM for capital projects is capitalised but standalone analysis may not be</w:t>
            </w:r>
          </w:p>
        </w:tc>
        <w:tc>
          <w:tcPr>
            <w:tcW w:type="dxa" w:w="19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IRS Reg 1.263(a)-4: amounts paid to facilitate the acquisition of tangible property are capitalised; E&amp;D costs for capital assets follow the asset's treatment</w:t>
            </w:r>
          </w:p>
        </w:tc>
      </w:tr>
      <w:tr>
        <w:tc>
          <w:tcPr>
            <w:tcW w:type="dxa" w:w="14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R5: Build Milestones</w:t>
            </w:r>
          </w:p>
        </w:tc>
        <w:tc>
          <w:tcPr>
            <w:tcW w:type="dxa" w:w="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10%</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Milestones_Completed field (integer count of formal milestone sign-offs)</w:t>
            </w:r>
          </w:p>
        </w:tc>
        <w:tc>
          <w:tcPr>
            <w:tcW w:type="dxa" w:w="1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 3 milestones: corroborating evidence of capital construction activity; high milestone count signals active build phase</w:t>
            </w:r>
          </w:p>
        </w:tc>
        <w:tc>
          <w:tcPr>
            <w:tcW w:type="dxa" w:w="1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0 milestones with non-construction activity type: corroborating evidence of operational activity period</w:t>
            </w:r>
          </w:p>
        </w:tc>
        <w:tc>
          <w:tcPr>
            <w:tcW w:type="dxa" w:w="19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Build milestones are formal sign-offs on capital construction events; they document the creation of capitalised assets and support the audit trail for capitalization journal entries</w:t>
            </w:r>
          </w:p>
        </w:tc>
      </w:tr>
    </w:tbl>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7.3 Confidence Scoring Model</w:t>
      </w:r>
    </w:p>
    <w:p>
      <w:pPr>
        <w:spacing w:after="80" w:before="60"/>
      </w:pPr>
      <w:r>
        <w:rPr>
          <w:rFonts w:ascii="Calibri" w:cs="Calibri" w:eastAsia="Calibri" w:hAnsi="Calibri"/>
          <w:color w:val="1A1A2E"/>
          <w:sz w:val="22"/>
          <w:szCs w:val="22"/>
        </w:rPr>
        <w:t xml:space="preserve">The confidence score (0–100) represents the engine's certainty that the classification is correct. It is computed as a weighted sum of rule contributions, modified by two adjustment factors:</w:t>
      </w:r>
    </w:p>
    <w:p>
      <w:pPr>
        <w:spacing w:after="40" w:before="40"/>
      </w:pPr>
    </w:p>
    <w:p>
      <w:pPr>
        <w:pStyle w:val="ListParagraph"/>
        <w:numPr>
          <w:ilvl w:val="0"/>
          <w:numId w:val="2"/>
        </w:numPr>
        <w:spacing w:after="40" w:before="40"/>
      </w:pPr>
      <w:r>
        <w:rPr>
          <w:rFonts w:ascii="Calibri" w:cs="Calibri" w:eastAsia="Calibri" w:hAnsi="Calibri"/>
          <w:color w:val="1A1A2E"/>
          <w:sz w:val="22"/>
          <w:szCs w:val="22"/>
        </w:rPr>
        <w:t xml:space="preserve">Base score: Weighted sum of individual rule scores (each rule scores 0–100 on its dimension, multiplied by its weight).</w:t>
      </w:r>
    </w:p>
    <w:p>
      <w:pPr>
        <w:pStyle w:val="ListParagraph"/>
        <w:numPr>
          <w:ilvl w:val="0"/>
          <w:numId w:val="2"/>
        </w:numPr>
        <w:spacing w:after="40" w:before="40"/>
      </w:pPr>
      <w:r>
        <w:rPr>
          <w:rFonts w:ascii="Calibri" w:cs="Calibri" w:eastAsia="Calibri" w:hAnsi="Calibri"/>
          <w:color w:val="1A1A2E"/>
          <w:sz w:val="22"/>
          <w:szCs w:val="22"/>
        </w:rPr>
        <w:t xml:space="preserve">CapEx% alignment boost: If CapEx_Eligible_Pct ≥ 85% AND classification is CapEx, or CapEx_Eligible_Pct ≤ 15% AND classification is OpEx: confidence += 8 points. This captures records where the primary accounting signal strongly agrees with the engine's output.</w:t>
      </w:r>
    </w:p>
    <w:p>
      <w:pPr>
        <w:pStyle w:val="ListParagraph"/>
        <w:numPr>
          <w:ilvl w:val="0"/>
          <w:numId w:val="2"/>
        </w:numPr>
        <w:spacing w:after="40" w:before="40"/>
      </w:pPr>
      <w:r>
        <w:rPr>
          <w:rFonts w:ascii="Calibri" w:cs="Calibri" w:eastAsia="Calibri" w:hAnsi="Calibri"/>
          <w:color w:val="1A1A2E"/>
          <w:sz w:val="22"/>
          <w:szCs w:val="22"/>
        </w:rPr>
        <w:t xml:space="preserve">Rule conflict penalty: If R1 (CapEx%) and R2 (Cost Class) disagree on direction (e.g., low CapEx% but Expansion cost class), confidence is reduced by 10 points. Signal conflict indicates genuine ambiguity requiring human review.</w:t>
      </w:r>
    </w:p>
    <w:p>
      <w:pPr>
        <w:pStyle w:val="ListParagraph"/>
        <w:numPr>
          <w:ilvl w:val="0"/>
          <w:numId w:val="2"/>
        </w:numPr>
        <w:spacing w:after="40" w:before="40"/>
      </w:pPr>
      <w:r>
        <w:rPr>
          <w:rFonts w:ascii="Calibri" w:cs="Calibri" w:eastAsia="Calibri" w:hAnsi="Calibri"/>
          <w:color w:val="1A1A2E"/>
          <w:sz w:val="22"/>
          <w:szCs w:val="22"/>
        </w:rPr>
        <w:t xml:space="preserve">HR context penalty: If HRContext is missing (stub or API failure), confidence is reduced by 5 points. Classification without job-family context carries higher uncertainty.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800"/>
        <w:gridCol w:w="3060"/>
      </w:tblGrid>
      <w:tr>
        <w:trPr>
          <w:tblHeader/>
        </w:trPr>
        <w:tc>
          <w:tcPr>
            <w:tcW w:type="dxa" w:w="20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Confidence Band</w:t>
            </w:r>
          </w:p>
        </w:tc>
        <w:tc>
          <w:tcPr>
            <w:tcW w:type="dxa" w:w="15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Score Range</w:t>
            </w:r>
          </w:p>
        </w:tc>
        <w:tc>
          <w:tcPr>
            <w:tcW w:type="dxa" w:w="28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Routing Action</w:t>
            </w:r>
          </w:p>
        </w:tc>
        <w:tc>
          <w:tcPr>
            <w:tcW w:type="dxa" w:w="306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UI Surfacing</w:t>
            </w:r>
          </w:p>
        </w:tc>
      </w:tr>
      <w:tr>
        <w:tc>
          <w:tcPr>
            <w:tcW w:type="dxa" w:w="20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High Confidence</w:t>
            </w:r>
          </w:p>
        </w:tc>
        <w:tc>
          <w:tcPr>
            <w:tcW w:type="dxa" w:w="15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65–100</w:t>
            </w:r>
          </w:p>
        </w:tc>
        <w:tc>
          <w:tcPr>
            <w:tcW w:type="dxa" w:w="2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Auto-classify; route to employee review queue</w:t>
            </w:r>
          </w:p>
        </w:tc>
        <w:tc>
          <w:tcPr>
            <w:tcW w:type="dxa" w:w="30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Shown to employee in Review &amp; Confirm UI; green confidence indicator</w:t>
            </w:r>
          </w:p>
        </w:tc>
      </w:tr>
      <w:tr>
        <w:tc>
          <w:tcPr>
            <w:tcW w:type="dxa" w:w="20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Ambiguous</w:t>
            </w:r>
          </w:p>
        </w:tc>
        <w:tc>
          <w:tcPr>
            <w:tcW w:type="dxa" w:w="15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50–64</w:t>
            </w:r>
          </w:p>
        </w:tc>
        <w:tc>
          <w:tcPr>
            <w:tcW w:type="dxa" w:w="2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Route to domain lead escalation queue; NOT shown to employee</w:t>
            </w:r>
          </w:p>
        </w:tc>
        <w:tc>
          <w:tcPr>
            <w:tcW w:type="dxa" w:w="30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Shown to domain team lead with uncertainty flags; amber indicator</w:t>
            </w:r>
          </w:p>
        </w:tc>
      </w:tr>
      <w:tr>
        <w:tc>
          <w:tcPr>
            <w:tcW w:type="dxa" w:w="20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Low Confidence / Manual</w:t>
            </w:r>
          </w:p>
        </w:tc>
        <w:tc>
          <w:tcPr>
            <w:tcW w:type="dxa" w:w="15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0–49</w:t>
            </w:r>
          </w:p>
        </w:tc>
        <w:tc>
          <w:tcPr>
            <w:tcW w:type="dxa" w:w="2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Route to manual review escalation; flag in Run Manifest</w:t>
            </w:r>
          </w:p>
        </w:tc>
        <w:tc>
          <w:tcPr>
            <w:tcW w:type="dxa" w:w="30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Shown to domain team lead and capital program manager; red indicator; requires human decision before any classification is recorded</w:t>
            </w:r>
          </w:p>
        </w:tc>
      </w:tr>
    </w:tbl>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7.4 Evidence Note Generation</w:t>
      </w:r>
    </w:p>
    <w:p>
      <w:pPr>
        <w:spacing w:after="80" w:before="60"/>
      </w:pPr>
      <w:r>
        <w:rPr>
          <w:rFonts w:ascii="Calibri" w:cs="Calibri" w:eastAsia="Calibri" w:hAnsi="Calibri"/>
          <w:color w:val="1A1A2E"/>
          <w:sz w:val="22"/>
          <w:szCs w:val="22"/>
        </w:rPr>
        <w:t xml:space="preserve">Every classification carries a plain-language evidence note that non-technical reviewers can read and understand. The evidence note cites the specific signals that drove the classification. Example: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34A" w:sz="6"/>
              <w:left w:val="single" w:color="E8834A" w:sz="16"/>
              <w:bottom w:val="single" w:color="E0E0E0" w:sz="2"/>
              <w:right w:val="single" w:color="E0E0E0" w:sz="2"/>
            </w:tcBorders>
            <w:shd w:fill="FFF8F0" w:val="clear"/>
            <w:tcMar>
              <w:top w:type="dxa" w:w="100"/>
              <w:left w:type="dxa" w:w="200"/>
              <w:bottom w:type="dxa" w:w="100"/>
              <w:right w:type="dxa" w:w="160"/>
            </w:tcMar>
          </w:tcPr>
          <w:p>
            <w:pPr>
              <w:spacing w:after="60" w:before="0"/>
            </w:pPr>
            <w:r>
              <w:rPr>
                <w:rFonts w:ascii="Calibri" w:cs="Calibri" w:eastAsia="Calibri" w:hAnsi="Calibri"/>
                <w:b/>
                <w:bCs/>
                <w:color w:val="E8834A"/>
                <w:sz w:val="22"/>
                <w:szCs w:val="22"/>
              </w:rPr>
              <w:t xml:space="preserve">Example Evidence Note — CapEx, 91% Confidence</w:t>
            </w:r>
          </w:p>
          <w:p>
            <w:pPr>
              <w:spacing w:after="0" w:before="0"/>
            </w:pPr>
            <w:r>
              <w:rPr>
                <w:rFonts w:ascii="Calibri" w:cs="Calibri" w:eastAsia="Calibri" w:hAnsi="Calibri"/>
                <w:color w:val="444444"/>
                <w:sz w:val="20"/>
                <w:szCs w:val="20"/>
              </w:rPr>
              <w:t xml:space="preserve">ENG-0071 | RDST-BLUFFS FIBER LINK (Jan 2022): Classified as CapEx with 91% confidence. Primary signals: CapEx-eligible hours at 85% (R1: +35pts); VZZ Cost Class = Expansion (R2: +20pts); Activity Type = Build Milestone (R3: +20pts); Labor Category = New Construction (R4: +15pts); 3 milestones completed (R5: +10pts). CapEx% alignment boost applied (+8pts). No conflicting signals detected.</w:t>
            </w:r>
          </w:p>
        </w:tc>
      </w:tr>
    </w:tbl>
    <w:p>
      <w:r>
        <w:br w:type="page"/>
      </w:r>
    </w:p>
    <w:p>
      <w:pPr>
        <w:pStyle w:val="Heading1"/>
        <w:spacing w:after="160" w:before="400"/>
      </w:pPr>
      <w:r>
        <w:rPr>
          <w:rFonts w:ascii="Calibri" w:cs="Calibri" w:eastAsia="Calibri" w:hAnsi="Calibri"/>
          <w:b/>
          <w:bCs/>
          <w:color w:val="1F3864"/>
          <w:sz w:val="36"/>
          <w:szCs w:val="36"/>
        </w:rPr>
        <w:t xml:space="preserve">8. Multi-Agent Architecture</w:t>
      </w:r>
    </w:p>
    <w:p>
      <w:pPr>
        <w:pStyle w:val="Heading2"/>
        <w:pBdr>
          <w:bottom w:val="single" w:color="2E5F8A" w:sz="4"/>
        </w:pBdr>
        <w:spacing w:after="100" w:before="280"/>
      </w:pPr>
      <w:r>
        <w:rPr>
          <w:rFonts w:ascii="Calibri" w:cs="Calibri" w:eastAsia="Calibri" w:hAnsi="Calibri"/>
          <w:b/>
          <w:bCs/>
          <w:color w:val="2E5F8A"/>
          <w:sz w:val="28"/>
          <w:szCs w:val="28"/>
        </w:rPr>
        <w:t xml:space="preserve">8.1 Agent Taxonomy</w:t>
      </w:r>
    </w:p>
    <w:p>
      <w:pPr>
        <w:spacing w:after="80" w:before="60"/>
      </w:pPr>
      <w:r>
        <w:rPr>
          <w:rFonts w:ascii="Calibri" w:cs="Calibri" w:eastAsia="Calibri" w:hAnsi="Calibri"/>
          <w:color w:val="1A1A2E"/>
          <w:sz w:val="22"/>
          <w:szCs w:val="22"/>
        </w:rPr>
        <w:t xml:space="preserve">The system is implemented as an orchestrated multi-agent pipeline. Each agent has a single responsibility, a defined input interface, a defined output interface, and failure behaviour specified in the PersonaConfig. Agents communicate through the Orchestrator — no direct agent-to-agent calls. This design makes individual agents replaceable (e.g., swapping the rule-based Classification Agent for an LLM-based one) without touching other agents.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760"/>
        <w:gridCol w:w="1760"/>
        <w:gridCol w:w="2240"/>
      </w:tblGrid>
      <w:tr>
        <w:trPr>
          <w:tblHeader/>
        </w:trPr>
        <w:tc>
          <w:tcPr>
            <w:tcW w:type="dxa" w:w="16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Agent</w:t>
            </w:r>
          </w:p>
        </w:tc>
        <w:tc>
          <w:tcPr>
            <w:tcW w:type="dxa" w:w="20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Responsibility</w:t>
            </w:r>
          </w:p>
        </w:tc>
        <w:tc>
          <w:tcPr>
            <w:tcW w:type="dxa" w:w="176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Key Inputs</w:t>
            </w:r>
          </w:p>
        </w:tc>
        <w:tc>
          <w:tcPr>
            <w:tcW w:type="dxa" w:w="176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Key Outputs</w:t>
            </w:r>
          </w:p>
        </w:tc>
        <w:tc>
          <w:tcPr>
            <w:tcW w:type="dxa" w:w="224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Failure Behaviour</w:t>
            </w:r>
          </w:p>
        </w:tc>
      </w:tr>
      <w:tr>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Flow Orchestrator</w:t>
            </w:r>
          </w:p>
        </w:tc>
        <w:tc>
          <w:tcPr>
            <w:tcW w:type="dxa" w:w="20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Coordinates nightly pipeline; manages agent sequencing; handles failures; produces Run Manifest</w:t>
            </w:r>
          </w:p>
        </w:tc>
        <w:tc>
          <w:tcPr>
            <w:tcW w:type="dxa" w:w="17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Batch trigger (scheduled or on-demand); connector list; PersonaConfig</w:t>
            </w:r>
          </w:p>
        </w:tc>
        <w:tc>
          <w:tcPr>
            <w:tcW w:type="dxa" w:w="17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Run Manifest (inputs processed, outputs produced, errors); orchestration events</w:t>
            </w:r>
          </w:p>
        </w:tc>
        <w:tc>
          <w:tcPr>
            <w:tcW w:type="dxa" w:w="224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On agent failure: retry up to 3 times; on persistent failure: skip agent, continue pipeline with degraded confidence flag; alert to monitoring</w:t>
            </w:r>
          </w:p>
        </w:tc>
      </w:tr>
      <w:tr>
        <w:tc>
          <w:tcPr>
            <w:tcW w:type="dxa" w:w="1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Data Harvesting Agent</w:t>
            </w:r>
          </w:p>
        </w:tc>
        <w:tc>
          <w:tcPr>
            <w:tcW w:type="dxa" w:w="20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Triggers connector refresh; validates ingested records; stages clean records for downstream agents</w:t>
            </w:r>
          </w:p>
        </w:tc>
        <w:tc>
          <w:tcPr>
            <w:tcW w:type="dxa" w:w="17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Connector registry; date range params; schema definitions</w:t>
            </w:r>
          </w:p>
        </w:tc>
        <w:tc>
          <w:tcPr>
            <w:tcW w:type="dxa" w:w="17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Staged ActivityRecords; validation error report; dead-letter queue entries</w:t>
            </w:r>
          </w:p>
        </w:tc>
        <w:tc>
          <w:tcPr>
            <w:tcW w:type="dxa" w:w="224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On connector failure: log error, continue with records from functioning connectors; dead-letter invalid records</w:t>
            </w:r>
          </w:p>
        </w:tc>
      </w:tr>
      <w:tr>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Context Builder Agent</w:t>
            </w:r>
          </w:p>
        </w:tc>
        <w:tc>
          <w:tcPr>
            <w:tcW w:type="dxa" w:w="20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Aggregates per-record signals into per-employee annual context record</w:t>
            </w:r>
          </w:p>
        </w:tc>
        <w:tc>
          <w:tcPr>
            <w:tcW w:type="dxa" w:w="17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Staged ActivityRecords for the reporting window; PersonaConfig (Annual/Weekly mode)</w:t>
            </w:r>
          </w:p>
        </w:tc>
        <w:tc>
          <w:tcPr>
            <w:tcW w:type="dxa" w:w="17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Per-employee ContextRecord (activity category frequency distribution)</w:t>
            </w:r>
          </w:p>
        </w:tc>
        <w:tc>
          <w:tcPr>
            <w:tcW w:type="dxa" w:w="224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On partial data: build context from available records; flag incomplete-context warning in output</w:t>
            </w:r>
          </w:p>
        </w:tc>
      </w:tr>
      <w:tr>
        <w:tc>
          <w:tcPr>
            <w:tcW w:type="dxa" w:w="1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Classification Agent</w:t>
            </w:r>
          </w:p>
        </w:tc>
        <w:tc>
          <w:tcPr>
            <w:tcW w:type="dxa" w:w="20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Applies five-rule weighted scoring to each context record</w:t>
            </w:r>
          </w:p>
        </w:tc>
        <w:tc>
          <w:tcPr>
            <w:tcW w:type="dxa" w:w="17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ContextRecord; PersonaConfig (rule weights, thresholds); SignalWeights from enrichment pipeline</w:t>
            </w:r>
          </w:p>
        </w:tc>
        <w:tc>
          <w:tcPr>
            <w:tcW w:type="dxa" w:w="17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ClassifiedRecord (CapEx/OpEx designation, confidence score, raw rule scores, evidence note)</w:t>
            </w:r>
          </w:p>
        </w:tc>
        <w:tc>
          <w:tcPr>
            <w:tcW w:type="dxa" w:w="224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On missing required field: assign 0 score to that rule dimension; reduce confidence accordingly; flag in evidence note</w:t>
            </w:r>
          </w:p>
        </w:tc>
      </w:tr>
      <w:tr>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Policy &amp; Rules Agent</w:t>
            </w:r>
          </w:p>
        </w:tc>
        <w:tc>
          <w:tcPr>
            <w:tcW w:type="dxa" w:w="20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Overlays accounting rules and investment case constraints on base classification</w:t>
            </w:r>
          </w:p>
        </w:tc>
        <w:tc>
          <w:tcPr>
            <w:tcW w:type="dxa" w:w="17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ClassifiedRecord; AccountingRulesDocument (versioned); InvestmentContext</w:t>
            </w:r>
          </w:p>
        </w:tc>
        <w:tc>
          <w:tcPr>
            <w:tcW w:type="dxa" w:w="17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PolicyAdjustedRecord (final classification after policy overlay; policy override flag if applied)</w:t>
            </w:r>
          </w:p>
        </w:tc>
        <w:tc>
          <w:tcPr>
            <w:tcW w:type="dxa" w:w="224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On missing accounting rules doc: classify using base engine output only; flag rules-version-unknown in evidence note</w:t>
            </w:r>
          </w:p>
        </w:tc>
      </w:tr>
      <w:tr>
        <w:tc>
          <w:tcPr>
            <w:tcW w:type="dxa" w:w="1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Confidence &amp; Routing Agent</w:t>
            </w:r>
          </w:p>
        </w:tc>
        <w:tc>
          <w:tcPr>
            <w:tcW w:type="dxa" w:w="20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Evaluates final confidence score; routes records to appropriate output queue</w:t>
            </w:r>
          </w:p>
        </w:tc>
        <w:tc>
          <w:tcPr>
            <w:tcW w:type="dxa" w:w="17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PolicyAdjustedRecord; PersonaConfig (confidence thresholds); routing rules</w:t>
            </w:r>
          </w:p>
        </w:tc>
        <w:tc>
          <w:tcPr>
            <w:tcW w:type="dxa" w:w="17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Routed output: high-confidence → output queue; ambiguous → escalation queue; low-confidence → manual review queue</w:t>
            </w:r>
          </w:p>
        </w:tc>
        <w:tc>
          <w:tcPr>
            <w:tcW w:type="dxa" w:w="224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On routing config error: route all records to manual review queue; alert to system administrator</w:t>
            </w:r>
          </w:p>
        </w:tc>
      </w:tr>
    </w:tbl>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8.2 Agent Communication Protocol</w:t>
      </w:r>
    </w:p>
    <w:p>
      <w:pPr>
        <w:spacing w:after="80" w:before="60"/>
      </w:pPr>
      <w:r>
        <w:rPr>
          <w:rFonts w:ascii="Calibri" w:cs="Calibri" w:eastAsia="Calibri" w:hAnsi="Calibri"/>
          <w:color w:val="1A1A2E"/>
          <w:sz w:val="22"/>
          <w:szCs w:val="22"/>
        </w:rPr>
        <w:t xml:space="preserve">All inter-agent communication passes through the Flow Orchestrator using a synchronous call model for the POC, with a message-queue model (Apache Kafka or AWS SQS) specified for production. Each agent exposes a process(record) method that accepts a typed input record and returns a typed output record. The Orchestrator chains agent calls in sequence, threading the record through the pipeline and capturing the output of each stage in the Run Manifest.</w:t>
      </w:r>
    </w:p>
    <w:p>
      <w:pPr>
        <w:spacing w:after="40" w:before="40"/>
      </w:pPr>
    </w:p>
    <w:p>
      <w:pPr>
        <w:spacing w:after="80" w:before="60"/>
      </w:pPr>
      <w:r>
        <w:rPr>
          <w:rFonts w:ascii="Calibri" w:cs="Calibri" w:eastAsia="Calibri" w:hAnsi="Calibri"/>
          <w:color w:val="1A1A2E"/>
          <w:sz w:val="22"/>
          <w:szCs w:val="22"/>
        </w:rPr>
        <w:t xml:space="preserve">For the production nightly batch model, the Orchestrator would partition the full record set across N parallel worker processes, each running the full agent pipeline for its partition. Partition size is tuned to match the 4-hour processing window available before the morning review cycle opens.</w:t>
      </w:r>
    </w:p>
    <w:p>
      <w:r>
        <w:br w:type="page"/>
      </w:r>
    </w:p>
    <w:p>
      <w:pPr>
        <w:pStyle w:val="Heading1"/>
        <w:spacing w:after="160" w:before="400"/>
      </w:pPr>
      <w:r>
        <w:rPr>
          <w:rFonts w:ascii="Calibri" w:cs="Calibri" w:eastAsia="Calibri" w:hAnsi="Calibri"/>
          <w:b/>
          <w:bCs/>
          <w:color w:val="1F3864"/>
          <w:sz w:val="36"/>
          <w:szCs w:val="36"/>
        </w:rPr>
        <w:t xml:space="preserve">9. Audit Trail Design (Production)</w:t>
      </w:r>
    </w:p>
    <w:p>
      <w:pPr>
        <w:pStyle w:val="Heading2"/>
        <w:pBdr>
          <w:bottom w:val="single" w:color="2E5F8A" w:sz="4"/>
        </w:pBdr>
        <w:spacing w:after="100" w:before="280"/>
      </w:pPr>
      <w:r>
        <w:rPr>
          <w:rFonts w:ascii="Calibri" w:cs="Calibri" w:eastAsia="Calibri" w:hAnsi="Calibri"/>
          <w:b/>
          <w:bCs/>
          <w:color w:val="2E5F8A"/>
          <w:sz w:val="28"/>
          <w:szCs w:val="28"/>
        </w:rPr>
        <w:t xml:space="preserve">9.1 Audit Requirements</w:t>
      </w:r>
    </w:p>
    <w:p>
      <w:pPr>
        <w:spacing w:after="80" w:before="60"/>
      </w:pPr>
      <w:r>
        <w:rPr>
          <w:rFonts w:ascii="Calibri" w:cs="Calibri" w:eastAsia="Calibri" w:hAnsi="Calibri"/>
          <w:color w:val="1A1A2E"/>
          <w:sz w:val="22"/>
          <w:szCs w:val="22"/>
        </w:rPr>
        <w:t xml:space="preserve">The EAC System's audit trail must satisfy two distinct audit audiences: (1) internal capital accounting review, which requires traceability from each classification to the specific observable signals that drove it; and (2) external regulatory review (IRS, SEC for public companies), which requires evidence that the classification methodology is consistent, rule-governed, and not subject to manipulation.</w:t>
      </w:r>
    </w:p>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9.2 Audit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560"/>
        <w:gridCol w:w="1800"/>
      </w:tblGrid>
      <w:tr>
        <w:trPr>
          <w:tblHeader/>
        </w:trPr>
        <w:tc>
          <w:tcPr>
            <w:tcW w:type="dxa" w:w="18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Field</w:t>
            </w:r>
          </w:p>
        </w:tc>
        <w:tc>
          <w:tcPr>
            <w:tcW w:type="dxa" w:w="12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Type</w:t>
            </w:r>
          </w:p>
        </w:tc>
        <w:tc>
          <w:tcPr>
            <w:tcW w:type="dxa" w:w="456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Description</w:t>
            </w:r>
          </w:p>
        </w:tc>
        <w:tc>
          <w:tcPr>
            <w:tcW w:type="dxa" w:w="18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Retention</w:t>
            </w:r>
          </w:p>
        </w:tc>
      </w:tr>
      <w:tr>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audit_id</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UUID</w:t>
            </w:r>
          </w:p>
        </w:tc>
        <w:tc>
          <w:tcPr>
            <w:tcW w:type="dxa" w:w="45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Unique identifier for this audit event</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7 years</w:t>
            </w:r>
          </w:p>
        </w:tc>
      </w:tr>
      <w:tr>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record_id</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String</w:t>
            </w:r>
          </w:p>
        </w:tc>
        <w:tc>
          <w:tcPr>
            <w:tcW w:type="dxa" w:w="45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ActivityRecord identifier linking to source data</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7 years</w:t>
            </w:r>
          </w:p>
        </w:tc>
      </w:tr>
      <w:tr>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engineer_id</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String</w:t>
            </w:r>
          </w:p>
        </w:tc>
        <w:tc>
          <w:tcPr>
            <w:tcW w:type="dxa" w:w="45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Engineer whose activity is being classified</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7 years</w:t>
            </w:r>
          </w:p>
        </w:tc>
      </w:tr>
      <w:tr>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classification_timestamp</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ISO 8601</w:t>
            </w:r>
          </w:p>
        </w:tc>
        <w:tc>
          <w:tcPr>
            <w:tcW w:type="dxa" w:w="45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Exact time of classification; immutable after write</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7 years</w:t>
            </w:r>
          </w:p>
        </w:tc>
      </w:tr>
      <w:tr>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input_signals</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JSON</w:t>
            </w:r>
          </w:p>
        </w:tc>
        <w:tc>
          <w:tcPr>
            <w:tcW w:type="dxa" w:w="45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Full snapshot of the ActivityRecord as received by Classification Agent; includes all 39 fields</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7 years</w:t>
            </w:r>
          </w:p>
        </w:tc>
      </w:tr>
      <w:tr>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rule_version</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String (semver)</w:t>
            </w:r>
          </w:p>
        </w:tc>
        <w:tc>
          <w:tcPr>
            <w:tcW w:type="dxa" w:w="45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Version of PersonaConfig and accounting rules applied; links to versioned rule document</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7 years</w:t>
            </w:r>
          </w:p>
        </w:tc>
      </w:tr>
      <w:tr>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rule_scores</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JSON</w:t>
            </w:r>
          </w:p>
        </w:tc>
        <w:tc>
          <w:tcPr>
            <w:tcW w:type="dxa" w:w="45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Individual score for each of the five rule dimensions; enables auditor to verify the scoring calculation</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7 years</w:t>
            </w:r>
          </w:p>
        </w:tc>
      </w:tr>
      <w:tr>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confidence_score</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Integer 0–100</w:t>
            </w:r>
          </w:p>
        </w:tc>
        <w:tc>
          <w:tcPr>
            <w:tcW w:type="dxa" w:w="45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Final confidence score after all adjustments</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7 years</w:t>
            </w:r>
          </w:p>
        </w:tc>
      </w:tr>
      <w:tr>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classification_output</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Enum: CapEx/OpEx/Ambiguous</w:t>
            </w:r>
          </w:p>
        </w:tc>
        <w:tc>
          <w:tcPr>
            <w:tcW w:type="dxa" w:w="45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Final classification output from Policy &amp; Rules Agent</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7 years</w:t>
            </w:r>
          </w:p>
        </w:tc>
      </w:tr>
      <w:tr>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evidence_note</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String</w:t>
            </w:r>
          </w:p>
        </w:tc>
        <w:tc>
          <w:tcPr>
            <w:tcW w:type="dxa" w:w="45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Plain-language evidence note referencing specific signals</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7 years</w:t>
            </w:r>
          </w:p>
        </w:tc>
      </w:tr>
      <w:tr>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routing_decision</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Enum: output/escalation/manual</w:t>
            </w:r>
          </w:p>
        </w:tc>
        <w:tc>
          <w:tcPr>
            <w:tcW w:type="dxa" w:w="45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Routing path taken by Confidence &amp; Routing Agent</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7 years</w:t>
            </w:r>
          </w:p>
        </w:tc>
      </w:tr>
      <w:tr>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override_applied</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Boolean</w:t>
            </w:r>
          </w:p>
        </w:tc>
        <w:tc>
          <w:tcPr>
            <w:tcW w:type="dxa" w:w="45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True if an employee or domain lead correction was applied</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7 years</w:t>
            </w:r>
          </w:p>
        </w:tc>
      </w:tr>
      <w:tr>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override_detail</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JSON (nullable)</w:t>
            </w:r>
          </w:p>
        </w:tc>
        <w:tc>
          <w:tcPr>
            <w:tcW w:type="dxa" w:w="45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If override_applied: original classification, override value, overriding user ID, timestamp, reason code</w:t>
            </w:r>
          </w:p>
        </w:tc>
        <w:tc>
          <w:tcPr>
            <w:tcW w:type="dxa" w:w="18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7 years</w:t>
            </w:r>
          </w:p>
        </w:tc>
      </w:tr>
      <w:tr>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batch_run_id</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UUID</w:t>
            </w:r>
          </w:p>
        </w:tc>
        <w:tc>
          <w:tcPr>
            <w:tcW w:type="dxa" w:w="45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Links this record to the Run Manifest for the nightly batch run that produced it</w:t>
            </w:r>
          </w:p>
        </w:tc>
        <w:tc>
          <w:tcPr>
            <w:tcW w:type="dxa" w:w="18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7 years</w:t>
            </w:r>
          </w:p>
        </w:tc>
      </w:tr>
    </w:tbl>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9.3 Production Audit System Design</w:t>
      </w:r>
    </w:p>
    <w:p>
      <w:pPr>
        <w:spacing w:after="80" w:before="60"/>
      </w:pPr>
      <w:r>
        <w:rPr>
          <w:rFonts w:ascii="Calibri" w:cs="Calibri" w:eastAsia="Calibri" w:hAnsi="Calibri"/>
          <w:color w:val="1A1A2E"/>
          <w:sz w:val="22"/>
          <w:szCs w:val="22"/>
        </w:rPr>
        <w:t xml:space="preserve">The POC delivers a navigable audit trail stub showing the schema above with simulated data for demonstration. The production audit system would be implemented as an append-only event log with the following characteristics:</w:t>
      </w:r>
    </w:p>
    <w:p>
      <w:pPr>
        <w:pStyle w:val="ListParagraph"/>
        <w:numPr>
          <w:ilvl w:val="0"/>
          <w:numId w:val="2"/>
        </w:numPr>
        <w:spacing w:after="40" w:before="40"/>
      </w:pPr>
      <w:r>
        <w:rPr>
          <w:rFonts w:ascii="Calibri" w:cs="Calibri" w:eastAsia="Calibri" w:hAnsi="Calibri"/>
          <w:color w:val="1A1A2E"/>
          <w:sz w:val="22"/>
          <w:szCs w:val="22"/>
        </w:rPr>
        <w:t xml:space="preserve">Immutability: Audit records are written once and never modified. Corrections are recorded as new events referencing the original audit_id — the original event is never altered.</w:t>
      </w:r>
    </w:p>
    <w:p>
      <w:pPr>
        <w:pStyle w:val="ListParagraph"/>
        <w:numPr>
          <w:ilvl w:val="0"/>
          <w:numId w:val="2"/>
        </w:numPr>
        <w:spacing w:after="40" w:before="40"/>
      </w:pPr>
      <w:r>
        <w:rPr>
          <w:rFonts w:ascii="Calibri" w:cs="Calibri" w:eastAsia="Calibri" w:hAnsi="Calibri"/>
          <w:color w:val="1A1A2E"/>
          <w:sz w:val="22"/>
          <w:szCs w:val="22"/>
        </w:rPr>
        <w:t xml:space="preserve">Versioned rules: Every classification references a specific version of the PersonaConfig and accounting rules document. The rules documents themselves are stored in the audit system. An auditor can recreate any historical classification by running the versioned rules against the archived input signals.</w:t>
      </w:r>
    </w:p>
    <w:p>
      <w:pPr>
        <w:pStyle w:val="ListParagraph"/>
        <w:numPr>
          <w:ilvl w:val="0"/>
          <w:numId w:val="2"/>
        </w:numPr>
        <w:spacing w:after="40" w:before="40"/>
      </w:pPr>
      <w:r>
        <w:rPr>
          <w:rFonts w:ascii="Calibri" w:cs="Calibri" w:eastAsia="Calibri" w:hAnsi="Calibri"/>
          <w:color w:val="1A1A2E"/>
          <w:sz w:val="22"/>
          <w:szCs w:val="22"/>
        </w:rPr>
        <w:t xml:space="preserve">Queryability: The audit log is queryable by engineer_id, initiative_id, batch_run_id, classification_output, and date range. Capital finance teams can extract all CapEx classifications for a specific initiative for the capitalisation journal entry.</w:t>
      </w:r>
    </w:p>
    <w:p>
      <w:pPr>
        <w:pStyle w:val="ListParagraph"/>
        <w:numPr>
          <w:ilvl w:val="0"/>
          <w:numId w:val="2"/>
        </w:numPr>
        <w:spacing w:after="40" w:before="40"/>
      </w:pPr>
      <w:r>
        <w:rPr>
          <w:rFonts w:ascii="Calibri" w:cs="Calibri" w:eastAsia="Calibri" w:hAnsi="Calibri"/>
          <w:color w:val="1A1A2E"/>
          <w:sz w:val="22"/>
          <w:szCs w:val="22"/>
        </w:rPr>
        <w:t xml:space="preserve">Tamper evidence: The audit log is backed by an append-only data store (e.g., Amazon QLDB or an immutable S3 bucket with versioning and object lock). Write access is restricted to the Orchestrator service identity; no human has direct write access.</w:t>
      </w:r>
    </w:p>
    <w:p>
      <w:r>
        <w:br w:type="page"/>
      </w:r>
    </w:p>
    <w:p>
      <w:pPr>
        <w:pStyle w:val="Heading1"/>
        <w:spacing w:after="160" w:before="400"/>
      </w:pPr>
      <w:r>
        <w:rPr>
          <w:rFonts w:ascii="Calibri" w:cs="Calibri" w:eastAsia="Calibri" w:hAnsi="Calibri"/>
          <w:b/>
          <w:bCs/>
          <w:color w:val="1F3864"/>
          <w:sz w:val="36"/>
          <w:szCs w:val="36"/>
        </w:rPr>
        <w:t xml:space="preserve">10. Form Parsing Pipeline</w:t>
      </w:r>
    </w:p>
    <w:p>
      <w:pPr>
        <w:pStyle w:val="Heading2"/>
        <w:pBdr>
          <w:bottom w:val="single" w:color="2E5F8A" w:sz="4"/>
        </w:pBdr>
        <w:spacing w:after="100" w:before="280"/>
      </w:pPr>
      <w:r>
        <w:rPr>
          <w:rFonts w:ascii="Calibri" w:cs="Calibri" w:eastAsia="Calibri" w:hAnsi="Calibri"/>
          <w:b/>
          <w:bCs/>
          <w:color w:val="2E5F8A"/>
          <w:sz w:val="28"/>
          <w:szCs w:val="28"/>
        </w:rPr>
        <w:t xml:space="preserve">10.1 Methodology</w:t>
      </w:r>
    </w:p>
    <w:p>
      <w:pPr>
        <w:spacing w:after="80" w:before="60"/>
      </w:pPr>
      <w:r>
        <w:rPr>
          <w:rFonts w:ascii="Calibri" w:cs="Calibri" w:eastAsia="Calibri" w:hAnsi="Calibri"/>
          <w:color w:val="1A1A2E"/>
          <w:sz w:val="22"/>
          <w:szCs w:val="22"/>
        </w:rPr>
        <w:t xml:space="preserve">The 10 sample survey forms are structured .docx documents with a consistent format: a cover section with submitter name and date, followed by 8 numbered sections (Initiative &amp; Project Identity, Time Period, Site &amp; Geography, Spend Classification, Financial Figures, Engineer &amp; Labor Activity, Field Activity Detail, Project Status) containing 39 questions total. Each question follows a consistent pattern: bold question text, then a response paragraph beginning with the field label and a colon (e.g., 'Initiative ID: 6770487').</w:t>
      </w:r>
    </w:p>
    <w:p>
      <w:pPr>
        <w:spacing w:after="40" w:before="40"/>
      </w:pPr>
    </w:p>
    <w:p>
      <w:pPr>
        <w:spacing w:after="80" w:before="60"/>
      </w:pPr>
      <w:r>
        <w:rPr>
          <w:rFonts w:ascii="Calibri" w:cs="Calibri" w:eastAsia="Calibri" w:hAnsi="Calibri"/>
          <w:color w:val="1A1A2E"/>
          <w:sz w:val="22"/>
          <w:szCs w:val="22"/>
        </w:rPr>
        <w:t xml:space="preserve">The parser exploits this consistency using a three-phase extraction strategy:</w:t>
      </w:r>
    </w:p>
    <w:p>
      <w:pPr>
        <w:pStyle w:val="ListParagraph"/>
        <w:numPr>
          <w:ilvl w:val="0"/>
          <w:numId w:val="3"/>
        </w:numPr>
        <w:spacing w:after="40" w:before="40"/>
      </w:pPr>
      <w:r>
        <w:rPr>
          <w:rFonts w:ascii="Calibri" w:cs="Calibri" w:eastAsia="Calibri" w:hAnsi="Calibri"/>
          <w:color w:val="1A1A2E"/>
          <w:sz w:val="22"/>
          <w:szCs w:val="22"/>
        </w:rPr>
        <w:t xml:space="preserve">Section identification: Locate section boundaries by matching 'Section N:' header patterns. Extract section title and number.</w:t>
      </w:r>
    </w:p>
    <w:p>
      <w:pPr>
        <w:pStyle w:val="ListParagraph"/>
        <w:numPr>
          <w:ilvl w:val="0"/>
          <w:numId w:val="3"/>
        </w:numPr>
        <w:spacing w:after="40" w:before="40"/>
      </w:pPr>
      <w:r>
        <w:rPr>
          <w:rFonts w:ascii="Calibri" w:cs="Calibri" w:eastAsia="Calibri" w:hAnsi="Calibri"/>
          <w:color w:val="1A1A2E"/>
          <w:sz w:val="22"/>
          <w:szCs w:val="22"/>
        </w:rPr>
        <w:t xml:space="preserve">Question block extraction: Within each section, locate question blocks by matching 'Q{n}.' patterns at the start of bold paragraphs. Extract question text and the immediately following response paragraph.</w:t>
      </w:r>
    </w:p>
    <w:p>
      <w:pPr>
        <w:pStyle w:val="ListParagraph"/>
        <w:numPr>
          <w:ilvl w:val="0"/>
          <w:numId w:val="3"/>
        </w:numPr>
        <w:spacing w:after="40" w:before="40"/>
      </w:pPr>
      <w:r>
        <w:rPr>
          <w:rFonts w:ascii="Calibri" w:cs="Calibri" w:eastAsia="Calibri" w:hAnsi="Calibri"/>
          <w:color w:val="1A1A2E"/>
          <w:sz w:val="22"/>
          <w:szCs w:val="22"/>
        </w:rPr>
        <w:t xml:space="preserve">Value extraction: Within each response paragraph, extract the value portion after the field label and colon using a label-aware regex. For numeric fields (hours, percentages, currency amounts), apply type-specific extraction patterns to handle formatted values like '$2,256.94', '85%', '32.0 hours'.</w:t>
      </w:r>
    </w:p>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10.2 Field Mapping — Form to ActivityRecord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200"/>
        <w:gridCol w:w="5260"/>
      </w:tblGrid>
      <w:tr>
        <w:trPr>
          <w:tblHeader/>
        </w:trPr>
        <w:tc>
          <w:tcPr>
            <w:tcW w:type="dxa" w:w="7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Question</w:t>
            </w:r>
          </w:p>
        </w:tc>
        <w:tc>
          <w:tcPr>
            <w:tcW w:type="dxa" w:w="12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Source Section</w:t>
            </w:r>
          </w:p>
        </w:tc>
        <w:tc>
          <w:tcPr>
            <w:tcW w:type="dxa" w:w="22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ActivityRecord Field</w:t>
            </w:r>
          </w:p>
        </w:tc>
        <w:tc>
          <w:tcPr>
            <w:tcW w:type="dxa" w:w="526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Extraction Pattern</w:t>
            </w:r>
          </w:p>
        </w:tc>
      </w:tr>
      <w:tr>
        <w:tc>
          <w:tcPr>
            <w:tcW w:type="dxa" w:w="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Q1</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Section 1</w:t>
            </w:r>
          </w:p>
        </w:tc>
        <w:tc>
          <w:tcPr>
            <w:tcW w:type="dxa" w:w="2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InitiativeID</w:t>
            </w:r>
          </w:p>
        </w:tc>
        <w:tc>
          <w:tcPr>
            <w:tcW w:type="dxa" w:w="52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Numeric: /Initiative ID: (\d+)/</w:t>
            </w:r>
          </w:p>
        </w:tc>
      </w:tr>
      <w:tr>
        <w:tc>
          <w:tcPr>
            <w:tcW w:type="dxa" w:w="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Q2</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Section 1</w:t>
            </w:r>
          </w:p>
        </w:tc>
        <w:tc>
          <w:tcPr>
            <w:tcW w:type="dxa" w:w="2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InitiativeName</w:t>
            </w:r>
          </w:p>
        </w:tc>
        <w:tc>
          <w:tcPr>
            <w:tcW w:type="dxa" w:w="52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Text after 'Initiative Name:'</w:t>
            </w:r>
          </w:p>
        </w:tc>
      </w:tr>
      <w:tr>
        <w:tc>
          <w:tcPr>
            <w:tcW w:type="dxa" w:w="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Q3</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Section 1</w:t>
            </w:r>
          </w:p>
        </w:tc>
        <w:tc>
          <w:tcPr>
            <w:tcW w:type="dxa" w:w="2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DivisionCode</w:t>
            </w:r>
          </w:p>
        </w:tc>
        <w:tc>
          <w:tcPr>
            <w:tcW w:type="dxa" w:w="52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Numeric: /Division Code: (\d+)/</w:t>
            </w:r>
          </w:p>
        </w:tc>
      </w:tr>
      <w:tr>
        <w:tc>
          <w:tcPr>
            <w:tcW w:type="dxa" w:w="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Q5</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Section 2</w:t>
            </w:r>
          </w:p>
        </w:tc>
        <w:tc>
          <w:tcPr>
            <w:tcW w:type="dxa" w:w="2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FiscalYear</w:t>
            </w:r>
          </w:p>
        </w:tc>
        <w:tc>
          <w:tcPr>
            <w:tcW w:type="dxa" w:w="52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Numeric: /Fiscal Year: (\d{4})/</w:t>
            </w:r>
          </w:p>
        </w:tc>
      </w:tr>
      <w:tr>
        <w:tc>
          <w:tcPr>
            <w:tcW w:type="dxa" w:w="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Q6</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Section 2</w:t>
            </w:r>
          </w:p>
        </w:tc>
        <w:tc>
          <w:tcPr>
            <w:tcW w:type="dxa" w:w="2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FiscalMonth</w:t>
            </w:r>
          </w:p>
        </w:tc>
        <w:tc>
          <w:tcPr>
            <w:tcW w:type="dxa" w:w="52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Numeric: /Fiscal Month: (\d{1,2})/</w:t>
            </w:r>
          </w:p>
        </w:tc>
      </w:tr>
      <w:tr>
        <w:tc>
          <w:tcPr>
            <w:tcW w:type="dxa" w:w="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Q7</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Section 2</w:t>
            </w:r>
          </w:p>
        </w:tc>
        <w:tc>
          <w:tcPr>
            <w:tcW w:type="dxa" w:w="2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FiscalQuarter</w:t>
            </w:r>
          </w:p>
        </w:tc>
        <w:tc>
          <w:tcPr>
            <w:tcW w:type="dxa" w:w="52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Text: /Fiscal Quarter: (Q[1-4])/</w:t>
            </w:r>
          </w:p>
        </w:tc>
      </w:tr>
      <w:tr>
        <w:tc>
          <w:tcPr>
            <w:tcW w:type="dxa" w:w="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Q10</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Section 3</w:t>
            </w:r>
          </w:p>
        </w:tc>
        <w:tc>
          <w:tcPr>
            <w:tcW w:type="dxa" w:w="2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SiteCity</w:t>
            </w:r>
          </w:p>
        </w:tc>
        <w:tc>
          <w:tcPr>
            <w:tcW w:type="dxa" w:w="52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Text after 'Site City:'</w:t>
            </w:r>
          </w:p>
        </w:tc>
      </w:tr>
      <w:tr>
        <w:tc>
          <w:tcPr>
            <w:tcW w:type="dxa" w:w="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Q11</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Section 3</w:t>
            </w:r>
          </w:p>
        </w:tc>
        <w:tc>
          <w:tcPr>
            <w:tcW w:type="dxa" w:w="2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SiteState</w:t>
            </w:r>
          </w:p>
        </w:tc>
        <w:tc>
          <w:tcPr>
            <w:tcW w:type="dxa" w:w="52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2-char: /Site State: ([A-Z]{2})/</w:t>
            </w:r>
          </w:p>
        </w:tc>
      </w:tr>
      <w:tr>
        <w:tc>
          <w:tcPr>
            <w:tcW w:type="dxa" w:w="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Q12</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Section 3</w:t>
            </w:r>
          </w:p>
        </w:tc>
        <w:tc>
          <w:tcPr>
            <w:tcW w:type="dxa" w:w="2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SiteZipCode</w:t>
            </w:r>
          </w:p>
        </w:tc>
        <w:tc>
          <w:tcPr>
            <w:tcW w:type="dxa" w:w="52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Numeric: /Site ZIP Code: (\d{5})/</w:t>
            </w:r>
          </w:p>
        </w:tc>
      </w:tr>
      <w:tr>
        <w:tc>
          <w:tcPr>
            <w:tcW w:type="dxa" w:w="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Q18</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Section 4</w:t>
            </w:r>
          </w:p>
        </w:tc>
        <w:tc>
          <w:tcPr>
            <w:tcW w:type="dxa" w:w="2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SpendType</w:t>
            </w:r>
          </w:p>
        </w:tc>
        <w:tc>
          <w:tcPr>
            <w:tcW w:type="dxa" w:w="52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Enum: /Spend Type: (CAPEX|OPEX)/</w:t>
            </w:r>
          </w:p>
        </w:tc>
      </w:tr>
      <w:tr>
        <w:tc>
          <w:tcPr>
            <w:tcW w:type="dxa" w:w="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Q19</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Section 4</w:t>
            </w:r>
          </w:p>
        </w:tc>
        <w:tc>
          <w:tcPr>
            <w:tcW w:type="dxa" w:w="2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VZZ_CostClass</w:t>
            </w:r>
          </w:p>
        </w:tc>
        <w:tc>
          <w:tcPr>
            <w:tcW w:type="dxa" w:w="52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Text after 'VZZ Cost Class:'</w:t>
            </w:r>
          </w:p>
        </w:tc>
      </w:tr>
      <w:tr>
        <w:tc>
          <w:tcPr>
            <w:tcW w:type="dxa" w:w="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Q21</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Section 4</w:t>
            </w:r>
          </w:p>
        </w:tc>
        <w:tc>
          <w:tcPr>
            <w:tcW w:type="dxa" w:w="2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LaborSurvey_Category</w:t>
            </w:r>
          </w:p>
        </w:tc>
        <w:tc>
          <w:tcPr>
            <w:tcW w:type="dxa" w:w="52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Text after 'Labor Survey Category:'</w:t>
            </w:r>
          </w:p>
        </w:tc>
      </w:tr>
      <w:tr>
        <w:tc>
          <w:tcPr>
            <w:tcW w:type="dxa" w:w="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Q22</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Section 4</w:t>
            </w:r>
          </w:p>
        </w:tc>
        <w:tc>
          <w:tcPr>
            <w:tcW w:type="dxa" w:w="2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CapEx_Eligible_Pct</w:t>
            </w:r>
          </w:p>
        </w:tc>
        <w:tc>
          <w:tcPr>
            <w:tcW w:type="dxa" w:w="52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Numeric: /(\d+)%/</w:t>
            </w:r>
          </w:p>
        </w:tc>
      </w:tr>
      <w:tr>
        <w:tc>
          <w:tcPr>
            <w:tcW w:type="dxa" w:w="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Q24</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Section 5</w:t>
            </w:r>
          </w:p>
        </w:tc>
        <w:tc>
          <w:tcPr>
            <w:tcW w:type="dxa" w:w="2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ActualSpend_USD</w:t>
            </w:r>
          </w:p>
        </w:tc>
        <w:tc>
          <w:tcPr>
            <w:tcW w:type="dxa" w:w="52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Currency: /[$-]?[\d,]+\.\d{2}/</w:t>
            </w:r>
          </w:p>
        </w:tc>
      </w:tr>
      <w:tr>
        <w:tc>
          <w:tcPr>
            <w:tcW w:type="dxa" w:w="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Q30</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Section 6</w:t>
            </w:r>
          </w:p>
        </w:tc>
        <w:tc>
          <w:tcPr>
            <w:tcW w:type="dxa" w:w="2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Engineer_ID</w:t>
            </w:r>
          </w:p>
        </w:tc>
        <w:tc>
          <w:tcPr>
            <w:tcW w:type="dxa" w:w="52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Text: /Engineer ID: (ENG-\d+)/</w:t>
            </w:r>
          </w:p>
        </w:tc>
      </w:tr>
      <w:tr>
        <w:tc>
          <w:tcPr>
            <w:tcW w:type="dxa" w:w="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Q32</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Section 6</w:t>
            </w:r>
          </w:p>
        </w:tc>
        <w:tc>
          <w:tcPr>
            <w:tcW w:type="dxa" w:w="2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Hours_Logged</w:t>
            </w:r>
          </w:p>
        </w:tc>
        <w:tc>
          <w:tcPr>
            <w:tcW w:type="dxa" w:w="52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Numeric: /(\d+\.?\d*) hours/</w:t>
            </w:r>
          </w:p>
        </w:tc>
      </w:tr>
      <w:tr>
        <w:tc>
          <w:tcPr>
            <w:tcW w:type="dxa" w:w="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Q33</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Section 6</w:t>
            </w:r>
          </w:p>
        </w:tc>
        <w:tc>
          <w:tcPr>
            <w:tcW w:type="dxa" w:w="2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Activity_Type</w:t>
            </w:r>
          </w:p>
        </w:tc>
        <w:tc>
          <w:tcPr>
            <w:tcW w:type="dxa" w:w="52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Text after 'Activity Type:'</w:t>
            </w:r>
          </w:p>
        </w:tc>
      </w:tr>
      <w:tr>
        <w:tc>
          <w:tcPr>
            <w:tcW w:type="dxa" w:w="7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Q38</w:t>
            </w:r>
          </w:p>
        </w:tc>
        <w:tc>
          <w:tcPr>
            <w:tcW w:type="dxa" w:w="1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Section 7</w:t>
            </w:r>
          </w:p>
        </w:tc>
        <w:tc>
          <w:tcPr>
            <w:tcW w:type="dxa" w:w="22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Milestones_Completed</w:t>
            </w:r>
          </w:p>
        </w:tc>
        <w:tc>
          <w:tcPr>
            <w:tcW w:type="dxa" w:w="52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Numeric: /Milestones Completed: (\d+)/</w:t>
            </w:r>
          </w:p>
        </w:tc>
      </w:tr>
      <w:tr>
        <w:tc>
          <w:tcPr>
            <w:tcW w:type="dxa" w:w="7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Q39</w:t>
            </w:r>
          </w:p>
        </w:tc>
        <w:tc>
          <w:tcPr>
            <w:tcW w:type="dxa" w:w="1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Section 8</w:t>
            </w:r>
          </w:p>
        </w:tc>
        <w:tc>
          <w:tcPr>
            <w:tcW w:type="dxa" w:w="22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Project_Status</w:t>
            </w:r>
          </w:p>
        </w:tc>
        <w:tc>
          <w:tcPr>
            <w:tcW w:type="dxa" w:w="52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Text after 'Project Status:'</w:t>
            </w:r>
          </w:p>
        </w:tc>
      </w:tr>
    </w:tbl>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10.3 Scaling to Hundreds of Forms</w:t>
      </w:r>
    </w:p>
    <w:p>
      <w:pPr>
        <w:spacing w:after="80" w:before="60"/>
      </w:pPr>
      <w:r>
        <w:rPr>
          <w:rFonts w:ascii="Calibri" w:cs="Calibri" w:eastAsia="Calibri" w:hAnsi="Calibri"/>
          <w:color w:val="1A1A2E"/>
          <w:sz w:val="22"/>
          <w:szCs w:val="22"/>
        </w:rPr>
        <w:t xml:space="preserve">The POC parser is implemented as a synchronous single-file processor. Scaling to hundreds or thousands of forms requires the following architectural changes:</w:t>
      </w:r>
    </w:p>
    <w:p>
      <w:pPr>
        <w:pStyle w:val="ListParagraph"/>
        <w:numPr>
          <w:ilvl w:val="0"/>
          <w:numId w:val="2"/>
        </w:numPr>
        <w:spacing w:after="40" w:before="40"/>
      </w:pPr>
      <w:r>
        <w:rPr>
          <w:rFonts w:ascii="Calibri" w:cs="Calibri" w:eastAsia="Calibri" w:hAnsi="Calibri"/>
          <w:color w:val="1A1A2E"/>
          <w:sz w:val="22"/>
          <w:szCs w:val="22"/>
        </w:rPr>
        <w:t xml:space="preserve">Parallel processing: Each form is an independent document with no cross-form dependencies. The parser is trivially parallelisable across N workers using a worker pool pattern.</w:t>
      </w:r>
    </w:p>
    <w:p>
      <w:pPr>
        <w:pStyle w:val="ListParagraph"/>
        <w:numPr>
          <w:ilvl w:val="0"/>
          <w:numId w:val="2"/>
        </w:numPr>
        <w:spacing w:after="40" w:before="40"/>
      </w:pPr>
      <w:r>
        <w:rPr>
          <w:rFonts w:ascii="Calibri" w:cs="Calibri" w:eastAsia="Calibri" w:hAnsi="Calibri"/>
          <w:color w:val="1A1A2E"/>
          <w:sz w:val="22"/>
          <w:szCs w:val="22"/>
        </w:rPr>
        <w:t xml:space="preserve">Validation pipeline integration: At scale, parsed records feed directly into the Schema Validation stage of the enrichment pipeline. Invalid records are dead-lettered automatically rather than requiring manual review of parser output.</w:t>
      </w:r>
    </w:p>
    <w:p>
      <w:pPr>
        <w:pStyle w:val="ListParagraph"/>
        <w:numPr>
          <w:ilvl w:val="0"/>
          <w:numId w:val="2"/>
        </w:numPr>
        <w:spacing w:after="40" w:before="40"/>
      </w:pPr>
      <w:r>
        <w:rPr>
          <w:rFonts w:ascii="Calibri" w:cs="Calibri" w:eastAsia="Calibri" w:hAnsi="Calibri"/>
          <w:color w:val="1A1A2E"/>
          <w:sz w:val="22"/>
          <w:szCs w:val="22"/>
        </w:rPr>
        <w:t xml:space="preserve">Form version detection: Survey forms may vary slightly across markets, years, or form versions. A version-detection step (based on section count, question count, or form title) routes each document to the appropriate parser variant before extraction.</w:t>
      </w:r>
    </w:p>
    <w:p>
      <w:pPr>
        <w:pStyle w:val="ListParagraph"/>
        <w:numPr>
          <w:ilvl w:val="0"/>
          <w:numId w:val="2"/>
        </w:numPr>
        <w:spacing w:after="40" w:before="40"/>
      </w:pPr>
      <w:r>
        <w:rPr>
          <w:rFonts w:ascii="Calibri" w:cs="Calibri" w:eastAsia="Calibri" w:hAnsi="Calibri"/>
          <w:color w:val="1A1A2E"/>
          <w:sz w:val="22"/>
          <w:szCs w:val="22"/>
        </w:rPr>
        <w:t xml:space="preserve">Error recovery: Extraction failures on individual questions produce null values rather than record-level failures. The Classification Agent's confidence calculation accounts for null optional fields through the readiness score penalty.</w:t>
      </w:r>
    </w:p>
    <w:p>
      <w:pPr>
        <w:pStyle w:val="ListParagraph"/>
        <w:numPr>
          <w:ilvl w:val="0"/>
          <w:numId w:val="2"/>
        </w:numPr>
        <w:spacing w:after="40" w:before="40"/>
      </w:pPr>
      <w:r>
        <w:rPr>
          <w:rFonts w:ascii="Calibri" w:cs="Calibri" w:eastAsia="Calibri" w:hAnsi="Calibri"/>
          <w:color w:val="1A1A2E"/>
          <w:sz w:val="22"/>
          <w:szCs w:val="22"/>
        </w:rPr>
        <w:t xml:space="preserve">Audit logging: Every form parse event is logged with the source document path, parser version, extraction success rate (fields extracted / total fields), and any field-level extraction failures. This supports data quality monitoring across the form document population.</w:t>
      </w:r>
    </w:p>
    <w:p>
      <w:r>
        <w:br w:type="page"/>
      </w:r>
    </w:p>
    <w:p>
      <w:pPr>
        <w:pStyle w:val="Heading1"/>
        <w:spacing w:after="160" w:before="400"/>
      </w:pPr>
      <w:r>
        <w:rPr>
          <w:rFonts w:ascii="Calibri" w:cs="Calibri" w:eastAsia="Calibri" w:hAnsi="Calibri"/>
          <w:b/>
          <w:bCs/>
          <w:color w:val="1F3864"/>
          <w:sz w:val="36"/>
          <w:szCs w:val="36"/>
        </w:rPr>
        <w:t xml:space="preserve">11. Stub &amp; Simulated Component Registry</w:t>
      </w:r>
    </w:p>
    <w:p>
      <w:pPr>
        <w:spacing w:after="80" w:before="60"/>
      </w:pPr>
      <w:r>
        <w:rPr>
          <w:rFonts w:ascii="Calibri" w:cs="Calibri" w:eastAsia="Calibri" w:hAnsi="Calibri"/>
          <w:color w:val="1A1A2E"/>
          <w:sz w:val="22"/>
          <w:szCs w:val="22"/>
        </w:rPr>
        <w:t xml:space="preserve">Per the brief's requirement, all stubbed or simulated components are documented below with their production replacement plan. Only the Excel connector and form parser connector are functional in this POC.</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2300"/>
        <w:gridCol w:w="1660"/>
      </w:tblGrid>
      <w:tr>
        <w:trPr>
          <w:tblHeader/>
        </w:trPr>
        <w:tc>
          <w:tcPr>
            <w:tcW w:type="dxa" w:w="16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Component</w:t>
            </w:r>
          </w:p>
        </w:tc>
        <w:tc>
          <w:tcPr>
            <w:tcW w:type="dxa" w:w="19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What Is Stubbed</w:t>
            </w:r>
          </w:p>
        </w:tc>
        <w:tc>
          <w:tcPr>
            <w:tcW w:type="dxa" w:w="19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Stub Implementation</w:t>
            </w:r>
          </w:p>
        </w:tc>
        <w:tc>
          <w:tcPr>
            <w:tcW w:type="dxa" w:w="230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Production Replacement</w:t>
            </w:r>
          </w:p>
        </w:tc>
        <w:tc>
          <w:tcPr>
            <w:tcW w:type="dxa" w:w="1660"/>
            <w:tcBorders>
              <w:top w:val="single" w:color="C0C8D4" w:sz="1"/>
              <w:left w:val="single" w:color="C0C8D4" w:sz="1"/>
              <w:bottom w:val="single" w:color="C0C8D4" w:sz="1"/>
              <w:right w:val="single" w:color="C0C8D4" w:sz="1"/>
            </w:tcBorders>
            <w:shd w:fill="2E5F8A" w:val="clear"/>
            <w:tcMar>
              <w:top w:type="dxa" w:w="80"/>
              <w:left w:type="dxa" w:w="140"/>
              <w:bottom w:type="dxa" w:w="80"/>
              <w:right w:type="dxa" w:w="140"/>
            </w:tcMar>
            <w:vAlign w:val="center"/>
          </w:tcPr>
          <w:p>
            <w:pPr>
              <w:jc w:val="left"/>
            </w:pPr>
            <w:r>
              <w:rPr>
                <w:rFonts w:ascii="Calibri" w:cs="Calibri" w:eastAsia="Calibri" w:hAnsi="Calibri"/>
                <w:b/>
                <w:bCs/>
                <w:color w:val="FFFFFF"/>
                <w:sz w:val="20"/>
                <w:szCs w:val="20"/>
              </w:rPr>
              <w:t xml:space="preserve">Integration Priority</w:t>
            </w:r>
          </w:p>
        </w:tc>
      </w:tr>
      <w:tr>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HR Profile Data</w:t>
            </w:r>
          </w:p>
        </w:tc>
        <w:tc>
          <w:tcPr>
            <w:tcW w:type="dxa" w:w="19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Engineer job title, job family, org unit, manager hierarchy</w:t>
            </w:r>
          </w:p>
        </w:tc>
        <w:tc>
          <w:tcPr>
            <w:tcW w:type="dxa" w:w="19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Static JSON map keyed by ENG-ID; contains 10 engineer profiles matching the form data engineer IDs</w:t>
            </w:r>
          </w:p>
        </w:tc>
        <w:tc>
          <w:tcPr>
            <w:tcW w:type="dxa" w:w="23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Real-time HR system API (Workday, ServiceNow HR, or custom HR service); 24-hour refresh cache; fallback to last-known on API timeout</w:t>
            </w:r>
          </w:p>
        </w:tc>
        <w:tc>
          <w:tcPr>
            <w:tcW w:type="dxa" w:w="16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High — job family context materially improves classification accuracy for edge cases</w:t>
            </w:r>
          </w:p>
        </w:tc>
      </w:tr>
      <w:tr>
        <w:tc>
          <w:tcPr>
            <w:tcW w:type="dxa" w:w="1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Fixed Asset Accounting Rules</w:t>
            </w:r>
          </w:p>
        </w:tc>
        <w:tc>
          <w:tcPr>
            <w:tcW w:type="dxa" w:w="19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ASC 350/360 rules, IRS Rev. Proc. 2015-82, telco-specific capitalisation thresholds</w:t>
            </w:r>
          </w:p>
        </w:tc>
        <w:tc>
          <w:tcPr>
            <w:tcW w:type="dxa" w:w="19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Rule constants hardcoded in classification engine (CapEx% thresholds, Cost Class mappings, Activity Type mappings)</w:t>
            </w:r>
          </w:p>
        </w:tc>
        <w:tc>
          <w:tcPr>
            <w:tcW w:type="dxa" w:w="23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Versioned document store (S3 + DynamoDB); rules loaded at agent startup; rule version captured in every audit record; changes deployed via config update without code change</w:t>
            </w:r>
          </w:p>
        </w:tc>
        <w:tc>
          <w:tcPr>
            <w:tcW w:type="dxa" w:w="16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High — rules change with accounting standard updates; must be versioned and auditable</w:t>
            </w:r>
          </w:p>
        </w:tc>
      </w:tr>
      <w:tr>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Investment Context Registry</w:t>
            </w:r>
          </w:p>
        </w:tc>
        <w:tc>
          <w:tcPr>
            <w:tcW w:type="dxa" w:w="19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Per-initiative funding category, CapEx/OpEx designation, approved budget, asset class</w:t>
            </w:r>
          </w:p>
        </w:tc>
        <w:tc>
          <w:tcPr>
            <w:tcW w:type="dxa" w:w="19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Initiative data extracted from Excel dataset; 5 initiatives represented in form data fully stubbed</w:t>
            </w:r>
          </w:p>
        </w:tc>
        <w:tc>
          <w:tcPr>
            <w:tcW w:type="dxa" w:w="23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Capital management system integration (SAP PM, Oracle Capital, or custom CMDB); nightly refresh from authoritative source; unknown initiatives trigger alert</w:t>
            </w:r>
          </w:p>
        </w:tc>
        <w:tc>
          <w:tcPr>
            <w:tcW w:type="dxa" w:w="16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Medium — initiative context reinforces engine output; classification still functions without it at reduced confidence</w:t>
            </w:r>
          </w:p>
        </w:tc>
      </w:tr>
      <w:tr>
        <w:tc>
          <w:tcPr>
            <w:tcW w:type="dxa" w:w="1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Batch Scheduler</w:t>
            </w:r>
          </w:p>
        </w:tc>
        <w:tc>
          <w:tcPr>
            <w:tcW w:type="dxa" w:w="19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Nightly batch trigger, retry logic, run manifest persistence</w:t>
            </w:r>
          </w:p>
        </w:tc>
        <w:tc>
          <w:tcPr>
            <w:tcW w:type="dxa" w:w="19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On-demand execution triggered by user action (file upload or button click in UI); no scheduled trigger</w:t>
            </w:r>
          </w:p>
        </w:tc>
        <w:tc>
          <w:tcPr>
            <w:tcW w:type="dxa" w:w="23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Cron-based scheduler (Apache Airflow, AWS EventBridge, or Kubernetes CronJob); configurable run window; SLA alerting on missed runs</w:t>
            </w:r>
          </w:p>
        </w:tc>
        <w:tc>
          <w:tcPr>
            <w:tcW w:type="dxa" w:w="16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Medium — POC demonstrates on-demand execution; production batch model described in architecture document</w:t>
            </w:r>
          </w:p>
        </w:tc>
      </w:tr>
      <w:tr>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Historical Survey Data</w:t>
            </w:r>
          </w:p>
        </w:tc>
        <w:tc>
          <w:tcPr>
            <w:tcW w:type="dxa" w:w="19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Prior-year survey responses for model calibration and accuracy benchmarking</w:t>
            </w:r>
          </w:p>
        </w:tc>
        <w:tc>
          <w:tcPr>
            <w:tcW w:type="dxa" w:w="19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No historical data in POC; classification operates on current-period data only</w:t>
            </w:r>
          </w:p>
        </w:tc>
        <w:tc>
          <w:tcPr>
            <w:tcW w:type="dxa" w:w="23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Annual survey response archive loaded as labelled training set; enables comparison of engine predictions against prior human-reported values for accuracy measurement and rule tuning</w:t>
            </w:r>
          </w:p>
        </w:tc>
        <w:tc>
          <w:tcPr>
            <w:tcW w:type="dxa" w:w="16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Low for initial deployment; required for ongoing model improvement programme</w:t>
            </w:r>
          </w:p>
        </w:tc>
      </w:tr>
      <w:tr>
        <w:tc>
          <w:tcPr>
            <w:tcW w:type="dxa" w:w="16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Employee Notification Service</w:t>
            </w:r>
          </w:p>
        </w:tc>
        <w:tc>
          <w:tcPr>
            <w:tcW w:type="dxa" w:w="19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Email/Slack notification to employees when their review is ready</w:t>
            </w:r>
          </w:p>
        </w:tc>
        <w:tc>
          <w:tcPr>
            <w:tcW w:type="dxa" w:w="19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No notifications in POC; employees access the UI directly</w:t>
            </w:r>
          </w:p>
        </w:tc>
        <w:tc>
          <w:tcPr>
            <w:tcW w:type="dxa" w:w="230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Integration with enterprise notification service (SendGrid for email, Slack API for team alerts); notification templates per persona; opt-out management</w:t>
            </w:r>
          </w:p>
        </w:tc>
        <w:tc>
          <w:tcPr>
            <w:tcW w:type="dxa" w:w="1660"/>
            <w:tcBorders>
              <w:top w:val="single" w:color="C0C8D4" w:sz="1"/>
              <w:left w:val="single" w:color="C0C8D4" w:sz="1"/>
              <w:bottom w:val="single" w:color="C0C8D4" w:sz="1"/>
              <w:right w:val="single" w:color="C0C8D4" w:sz="1"/>
            </w:tcBorders>
            <w:shd w:fill="F5F7FA" w:val="clear"/>
            <w:tcMar>
              <w:top w:type="dxa" w:w="70"/>
              <w:left w:type="dxa" w:w="140"/>
              <w:bottom w:type="dxa" w:w="70"/>
              <w:right w:type="dxa" w:w="140"/>
            </w:tcMar>
          </w:tcPr>
          <w:p>
            <w:r>
              <w:rPr>
                <w:rFonts w:ascii="Calibri" w:cs="Calibri" w:eastAsia="Calibri" w:hAnsi="Calibri"/>
                <w:color w:val="1A1A2E"/>
                <w:sz w:val="20"/>
                <w:szCs w:val="20"/>
              </w:rPr>
              <w:t xml:space="preserve">Low — UI is functional without notifications; notifications improve adoption at scale</w:t>
            </w:r>
          </w:p>
        </w:tc>
      </w:tr>
      <w:tr>
        <w:tc>
          <w:tcPr>
            <w:tcW w:type="dxa" w:w="16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Audit Log Persistence</w:t>
            </w:r>
          </w:p>
        </w:tc>
        <w:tc>
          <w:tcPr>
            <w:tcW w:type="dxa" w:w="19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Append-only audit record storage with tamper evidence</w:t>
            </w:r>
          </w:p>
        </w:tc>
        <w:tc>
          <w:tcPr>
            <w:tcW w:type="dxa" w:w="19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In-memory stub; audit records displayed in UI for current session only; not persisted across sessions</w:t>
            </w:r>
          </w:p>
        </w:tc>
        <w:tc>
          <w:tcPr>
            <w:tcW w:type="dxa" w:w="230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Append-only event store (Amazon QLDB, immutable S3 with object lock, or Azure Immutable Blob Storage); 7-year retention; compliance with SOX and GAAP record-keeping requirements</w:t>
            </w:r>
          </w:p>
        </w:tc>
        <w:tc>
          <w:tcPr>
            <w:tcW w:type="dxa" w:w="1660"/>
            <w:tcBorders>
              <w:top w:val="single" w:color="C0C8D4" w:sz="1"/>
              <w:left w:val="single" w:color="C0C8D4" w:sz="1"/>
              <w:bottom w:val="single" w:color="C0C8D4" w:sz="1"/>
              <w:right w:val="single" w:color="C0C8D4" w:sz="1"/>
            </w:tcBorders>
            <w:shd w:fill="FFFFFF" w:val="clear"/>
            <w:tcMar>
              <w:top w:type="dxa" w:w="70"/>
              <w:left w:type="dxa" w:w="140"/>
              <w:bottom w:type="dxa" w:w="70"/>
              <w:right w:type="dxa" w:w="140"/>
            </w:tcMar>
          </w:tcPr>
          <w:p>
            <w:r>
              <w:rPr>
                <w:rFonts w:ascii="Calibri" w:cs="Calibri" w:eastAsia="Calibri" w:hAnsi="Calibri"/>
                <w:color w:val="1A1A2E"/>
                <w:sz w:val="20"/>
                <w:szCs w:val="20"/>
              </w:rPr>
              <w:t xml:space="preserve">High for production; not required for POC demonstration</w:t>
            </w:r>
          </w:p>
        </w:tc>
      </w:tr>
    </w:tbl>
    <w:p>
      <w:pPr>
        <w:spacing w:after="40" w:before="40"/>
      </w:pPr>
    </w:p>
    <w:p>
      <w:pPr>
        <w:pStyle w:val="Heading2"/>
        <w:pBdr>
          <w:bottom w:val="single" w:color="2E5F8A" w:sz="4"/>
        </w:pBdr>
        <w:spacing w:after="100" w:before="280"/>
      </w:pPr>
      <w:r>
        <w:rPr>
          <w:rFonts w:ascii="Calibri" w:cs="Calibri" w:eastAsia="Calibri" w:hAnsi="Calibri"/>
          <w:b/>
          <w:bCs/>
          <w:color w:val="2E5F8A"/>
          <w:sz w:val="28"/>
          <w:szCs w:val="28"/>
        </w:rPr>
        <w:t xml:space="preserve">11.1 What Is Real and Functional</w:t>
      </w:r>
    </w:p>
    <w:p>
      <w:pPr>
        <w:spacing w:after="80" w:before="60"/>
      </w:pPr>
      <w:r>
        <w:rPr>
          <w:rFonts w:ascii="Calibri" w:cs="Calibri" w:eastAsia="Calibri" w:hAnsi="Calibri"/>
          <w:color w:val="1A1A2E"/>
          <w:sz w:val="22"/>
          <w:szCs w:val="22"/>
        </w:rPr>
        <w:t xml:space="preserve">To be explicit about what is fully functional versus stubbed in this POC submission:</w:t>
      </w:r>
    </w:p>
    <w:p>
      <w:pPr>
        <w:pStyle w:val="ListParagraph"/>
        <w:numPr>
          <w:ilvl w:val="0"/>
          <w:numId w:val="2"/>
        </w:numPr>
        <w:spacing w:after="40" w:before="40"/>
      </w:pPr>
      <w:r>
        <w:rPr>
          <w:rFonts w:ascii="Calibri" w:cs="Calibri" w:eastAsia="Calibri" w:hAnsi="Calibri"/>
          <w:color w:val="1A1A2E"/>
          <w:sz w:val="22"/>
          <w:szCs w:val="22"/>
        </w:rPr>
        <w:t xml:space="preserve">FUNCTIONAL: Excel file upload connector — reads EAC_Dataset.xlsx, parses all rows, runs full classification pipeline, displays results in dashboard.</w:t>
      </w:r>
    </w:p>
    <w:p>
      <w:pPr>
        <w:pStyle w:val="ListParagraph"/>
        <w:numPr>
          <w:ilvl w:val="0"/>
          <w:numId w:val="2"/>
        </w:numPr>
        <w:spacing w:after="40" w:before="40"/>
      </w:pPr>
      <w:r>
        <w:rPr>
          <w:rFonts w:ascii="Calibri" w:cs="Calibri" w:eastAsia="Calibri" w:hAnsi="Calibri"/>
          <w:color w:val="1A1A2E"/>
          <w:sz w:val="22"/>
          <w:szCs w:val="22"/>
        </w:rPr>
        <w:t xml:space="preserve">FUNCTIONAL: Form document parser — all 10 forms parsed, 39 fields extracted per form, records mapped to ActivityRecord schema, classification applied, results displayed in Form Parser tab.</w:t>
      </w:r>
    </w:p>
    <w:p>
      <w:pPr>
        <w:pStyle w:val="ListParagraph"/>
        <w:numPr>
          <w:ilvl w:val="0"/>
          <w:numId w:val="2"/>
        </w:numPr>
        <w:spacing w:after="40" w:before="40"/>
      </w:pPr>
      <w:r>
        <w:rPr>
          <w:rFonts w:ascii="Calibri" w:cs="Calibri" w:eastAsia="Calibri" w:hAnsi="Calibri"/>
          <w:color w:val="1A1A2E"/>
          <w:sz w:val="22"/>
          <w:szCs w:val="22"/>
        </w:rPr>
        <w:t xml:space="preserve">FUNCTIONAL: Five-rule classification engine — applies R1 through R5 rules with weights, computes confidence score, generates evidence note, routes by confidence band.</w:t>
      </w:r>
    </w:p>
    <w:p>
      <w:pPr>
        <w:pStyle w:val="ListParagraph"/>
        <w:numPr>
          <w:ilvl w:val="0"/>
          <w:numId w:val="2"/>
        </w:numPr>
        <w:spacing w:after="40" w:before="40"/>
      </w:pPr>
      <w:r>
        <w:rPr>
          <w:rFonts w:ascii="Calibri" w:cs="Calibri" w:eastAsia="Calibri" w:hAnsi="Calibri"/>
          <w:color w:val="1A1A2E"/>
          <w:sz w:val="22"/>
          <w:szCs w:val="22"/>
        </w:rPr>
        <w:t xml:space="preserve">FUNCTIONAL: Classification dashboard — shows CapEx/OpEx percentage breakdown, per-record table with confidence scores and evidence notes, capitalisation shift metric, manual override capability.</w:t>
      </w:r>
    </w:p>
    <w:p>
      <w:pPr>
        <w:pStyle w:val="ListParagraph"/>
        <w:numPr>
          <w:ilvl w:val="0"/>
          <w:numId w:val="2"/>
        </w:numPr>
        <w:spacing w:after="40" w:before="40"/>
      </w:pPr>
      <w:r>
        <w:rPr>
          <w:rFonts w:ascii="Calibri" w:cs="Calibri" w:eastAsia="Calibri" w:hAnsi="Calibri"/>
          <w:color w:val="1A1A2E"/>
          <w:sz w:val="22"/>
          <w:szCs w:val="22"/>
        </w:rPr>
        <w:t xml:space="preserve">FUNCTIONAL: Audit trail UI — navigable stub with simulated audit records demonstrating the full production schema.</w:t>
      </w:r>
    </w:p>
    <w:p>
      <w:pPr>
        <w:pStyle w:val="ListParagraph"/>
        <w:numPr>
          <w:ilvl w:val="0"/>
          <w:numId w:val="2"/>
        </w:numPr>
        <w:spacing w:after="40" w:before="40"/>
      </w:pPr>
      <w:r>
        <w:rPr>
          <w:rFonts w:ascii="Calibri" w:cs="Calibri" w:eastAsia="Calibri" w:hAnsi="Calibri"/>
          <w:color w:val="1A1A2E"/>
          <w:sz w:val="22"/>
          <w:szCs w:val="22"/>
        </w:rPr>
        <w:t xml:space="preserve">FUNCTIONAL: Pipeline visualisation — animated pipeline diagram showing the six enrichment stages and agent flow.</w:t>
      </w:r>
    </w:p>
    <w:p>
      <w:pPr>
        <w:pStyle w:val="ListParagraph"/>
        <w:numPr>
          <w:ilvl w:val="0"/>
          <w:numId w:val="2"/>
        </w:numPr>
        <w:spacing w:after="40" w:before="40"/>
      </w:pPr>
      <w:r>
        <w:rPr>
          <w:rFonts w:ascii="Calibri" w:cs="Calibri" w:eastAsia="Calibri" w:hAnsi="Calibri"/>
          <w:color w:val="1A1A2E"/>
          <w:sz w:val="22"/>
          <w:szCs w:val="22"/>
        </w:rPr>
        <w:t xml:space="preserve">FUNCTIONAL: Coming Soon connector panel — displays all planned connectors with status indicators and integration method documentation.</w:t>
      </w:r>
    </w:p>
    <w:p>
      <w:pPr>
        <w:pStyle w:val="ListParagraph"/>
        <w:numPr>
          <w:ilvl w:val="0"/>
          <w:numId w:val="2"/>
        </w:numPr>
        <w:spacing w:after="40" w:before="40"/>
      </w:pPr>
      <w:r>
        <w:rPr>
          <w:rFonts w:ascii="Calibri" w:cs="Calibri" w:eastAsia="Calibri" w:hAnsi="Calibri"/>
          <w:color w:val="1A1A2E"/>
          <w:sz w:val="22"/>
          <w:szCs w:val="22"/>
        </w:rPr>
        <w:t xml:space="preserve">STUBBED: HR profiles, accounting rules configuration, investment registry, batch scheduler, notification service, persistent audit log storage.</w:t>
      </w:r>
    </w:p>
    <w:p>
      <w:pPr>
        <w:spacing w:after="40" w:before="40"/>
      </w:pPr>
    </w:p>
    <w:p>
      <w:pPr>
        <w:spacing w:after="80" w:before="60"/>
      </w:pPr>
      <w:r>
        <w:rPr>
          <w:rFonts w:ascii="Calibri" w:cs="Calibri" w:eastAsia="Calibri" w:hAnsi="Calibri"/>
          <w:color w:val="1A1A2E"/>
          <w:sz w:val="22"/>
          <w:szCs w:val="22"/>
        </w:rPr>
        <w:t xml:space="preserve">Every stub is clearly labelled in the UI with an amber 'Stub' badge and hover text explaining what the production implementation would look like.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1"/>
      </w:pBdr>
      <w:tabs>
        <w:tab w:val="right" w:pos="9026"/>
      </w:tabs>
      <w:spacing w:after="0" w:before="100"/>
    </w:pPr>
    <w:r>
      <w:rPr>
        <w:rFonts w:ascii="Calibri" w:cs="Calibri" w:eastAsia="Calibri" w:hAnsi="Calibri"/>
        <w:color w:val="777777"/>
        <w:sz w:val="18"/>
        <w:szCs w:val="18"/>
      </w:rPr>
      <w:t xml:space="preserve">AI-Enabled Employee Activity Classification System</w:t>
    </w:r>
    <w:r>
      <w:rPr>
        <w:sz w:val="18"/>
        <w:szCs w:val="18"/>
      </w:rPr>
      <w:t xml:space="preserve">	</w:t>
    </w:r>
    <w:r>
      <w:rPr>
        <w:rFonts w:ascii="Calibri" w:cs="Calibri" w:eastAsia="Calibri" w:hAnsi="Calibri"/>
        <w:color w:val="777777"/>
        <w:sz w:val="18"/>
        <w:szCs w:val="18"/>
      </w:rPr>
      <w:t xml:space="preserve">Confidential Assessment Submission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tabs>
        <w:tab w:val="right" w:pos="9026"/>
      </w:tabs>
      <w:spacing w:after="100" w:before="0"/>
    </w:pPr>
    <w:r>
      <w:rPr>
        <w:rFonts w:ascii="Calibri" w:cs="Calibri" w:eastAsia="Calibri" w:hAnsi="Calibri"/>
        <w:color w:val="777777"/>
        <w:sz w:val="18"/>
        <w:szCs w:val="18"/>
      </w:rPr>
      <w:t xml:space="preserve">EAC System — Architecture &amp; Technical Documentation</w:t>
    </w:r>
    <w:r>
      <w:rPr>
        <w:rFonts w:ascii="Calibri" w:cs="Calibri" w:eastAsia="Calibri" w:hAnsi="Calibri"/>
        <w:sz w:val="18"/>
        <w:szCs w:val="18"/>
      </w:rPr>
      <w:t xml:space="preserve">		</w:t>
    </w:r>
    <w:r>
      <w:rPr>
        <w:rFonts w:ascii="Calibri" w:cs="Calibri" w:eastAsia="Calibri" w:hAnsi="Calibri"/>
        <w:color w:val="777777"/>
        <w:sz w:val="18"/>
        <w:szCs w:val="18"/>
      </w:rPr>
      <w:t xml:space="preserve">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2E5F8A"/>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2026-05-20T19:43:04.307Z</dcterms:created>
  <dcterms:modified xsi:type="dcterms:W3CDTF">2026-05-20T19:43:04.307Z</dcterms:modified>
</cp:coreProperties>
</file>

<file path=docProps/custom.xml><?xml version="1.0" encoding="utf-8"?>
<Properties xmlns="http://schemas.openxmlformats.org/officeDocument/2006/custom-properties" xmlns:vt="http://schemas.openxmlformats.org/officeDocument/2006/docPropsVTypes"/>
</file>