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Cuadro comparativo: Antecedentes vs. Nuestra propuesta (SRV)</w:t>
      </w:r>
    </w:p>
    <w:p>
      <w:r>
        <w:rPr>
          <w:sz w:val="19"/>
        </w:rPr>
        <w:t>Sistema de Retroalimentación por Voz (SRV) basado en IA para la fluidez de oratoria en español. Documento de apoyo para la exposición. Las celdas se sustentan en los seis antecedentes citados (ver Referencias); los datos de tecnología y método provienen del resumen/introducción de cada fuente.</w:t>
      </w:r>
    </w:p>
    <w:p>
      <w:pPr>
        <w:pStyle w:val="Heading1"/>
      </w:pPr>
      <w:r>
        <w:t>1. Comparativa general</w:t>
      </w:r>
    </w:p>
    <w:tbl>
      <w:tblPr>
        <w:tblStyle w:val="LightGrid-Accent1"/>
        <w:tblW w:type="auto" w:w="0"/>
        <w:jc w:val="center"/>
        <w:tblLook w:firstColumn="1" w:firstRow="1" w:lastColumn="0" w:lastRow="0" w:noHBand="0" w:noVBand="1" w:val="04A0"/>
      </w:tblPr>
      <w:tblGrid>
        <w:gridCol w:w="2040"/>
        <w:gridCol w:w="2040"/>
        <w:gridCol w:w="2040"/>
        <w:gridCol w:w="2040"/>
        <w:gridCol w:w="2040"/>
        <w:gridCol w:w="2040"/>
      </w:tblGrid>
      <w:tr>
        <w:tc>
          <w:tcPr>
            <w:tcW w:type="dxa" w:w="2040"/>
          </w:tcPr>
          <w:p>
            <w:r/>
            <w:r>
              <w:rPr>
                <w:b/>
                <w:sz w:val="18"/>
              </w:rPr>
              <w:t>Estudio (referencia)</w:t>
            </w:r>
          </w:p>
        </w:tc>
        <w:tc>
          <w:tcPr>
            <w:tcW w:type="dxa" w:w="2040"/>
          </w:tcPr>
          <w:p>
            <w:r/>
            <w:r>
              <w:rPr>
                <w:b/>
                <w:sz w:val="18"/>
              </w:rPr>
              <w:t>Objetivo</w:t>
            </w:r>
          </w:p>
        </w:tc>
        <w:tc>
          <w:tcPr>
            <w:tcW w:type="dxa" w:w="2040"/>
          </w:tcPr>
          <w:p>
            <w:r/>
            <w:r>
              <w:rPr>
                <w:b/>
                <w:sz w:val="18"/>
              </w:rPr>
              <w:t>Tecnología clave (ASR/IA)</w:t>
            </w:r>
          </w:p>
        </w:tc>
        <w:tc>
          <w:tcPr>
            <w:tcW w:type="dxa" w:w="2040"/>
          </w:tcPr>
          <w:p>
            <w:r/>
            <w:r>
              <w:rPr>
                <w:b/>
                <w:sz w:val="18"/>
              </w:rPr>
              <w:t>Método de evaluación / scoring</w:t>
            </w:r>
          </w:p>
        </w:tc>
        <w:tc>
          <w:tcPr>
            <w:tcW w:type="dxa" w:w="2040"/>
          </w:tcPr>
          <w:p>
            <w:r/>
            <w:r>
              <w:rPr>
                <w:b/>
                <w:sz w:val="18"/>
              </w:rPr>
              <w:t>Población</w:t>
            </w:r>
          </w:p>
        </w:tc>
        <w:tc>
          <w:tcPr>
            <w:tcW w:type="dxa" w:w="2040"/>
          </w:tcPr>
          <w:p>
            <w:r/>
            <w:r>
              <w:rPr>
                <w:b/>
                <w:sz w:val="18"/>
              </w:rPr>
              <w:t>Despliegue</w:t>
            </w:r>
          </w:p>
        </w:tc>
      </w:tr>
      <w:tr>
        <w:tc>
          <w:tcPr>
            <w:tcW w:type="dxa" w:w="2040"/>
          </w:tcPr>
          <w:p>
            <w:r/>
            <w:r>
              <w:rPr>
                <w:b/>
                <w:sz w:val="17"/>
              </w:rPr>
              <w:t>Cevallos &amp; Gómez (2021) [1]</w:t>
            </w:r>
          </w:p>
        </w:tc>
        <w:tc>
          <w:tcPr>
            <w:tcW w:type="dxa" w:w="2040"/>
          </w:tcPr>
          <w:p>
            <w:r/>
            <w:r>
              <w:rPr>
                <w:b w:val="0"/>
                <w:sz w:val="17"/>
              </w:rPr>
              <w:t>Revisar el ASR para mejorar el aprendizaje de la lectura</w:t>
            </w:r>
          </w:p>
        </w:tc>
        <w:tc>
          <w:tcPr>
            <w:tcW w:type="dxa" w:w="2040"/>
          </w:tcPr>
          <w:p>
            <w:r/>
            <w:r>
              <w:rPr>
                <w:b w:val="0"/>
                <w:sz w:val="17"/>
              </w:rPr>
              <w:t>DNN + HMM (Viterbi, Baum-Welch)</w:t>
            </w:r>
          </w:p>
        </w:tc>
        <w:tc>
          <w:tcPr>
            <w:tcW w:type="dxa" w:w="2040"/>
          </w:tcPr>
          <w:p>
            <w:r/>
            <w:r>
              <w:rPr>
                <w:b w:val="0"/>
                <w:sz w:val="17"/>
              </w:rPr>
              <w:t>Revisión/análisis de algoritmos</w:t>
            </w:r>
          </w:p>
        </w:tc>
        <w:tc>
          <w:tcPr>
            <w:tcW w:type="dxa" w:w="2040"/>
          </w:tcPr>
          <w:p>
            <w:r/>
            <w:r>
              <w:rPr>
                <w:b w:val="0"/>
                <w:sz w:val="17"/>
              </w:rPr>
              <w:t>Niños escolares (español)</w:t>
            </w:r>
          </w:p>
        </w:tc>
        <w:tc>
          <w:tcPr>
            <w:tcW w:type="dxa" w:w="2040"/>
          </w:tcPr>
          <w:p>
            <w:r/>
            <w:r>
              <w:rPr>
                <w:b w:val="0"/>
                <w:sz w:val="17"/>
              </w:rPr>
              <w:t>Estudio teórico (sin app desplegada)</w:t>
            </w:r>
          </w:p>
        </w:tc>
      </w:tr>
      <w:tr>
        <w:tc>
          <w:tcPr>
            <w:tcW w:type="dxa" w:w="2040"/>
          </w:tcPr>
          <w:p>
            <w:r/>
            <w:r>
              <w:rPr>
                <w:b/>
                <w:sz w:val="17"/>
              </w:rPr>
              <w:t>Sánchez, Morales &amp; Rodríguez (2024) [2]</w:t>
            </w:r>
          </w:p>
        </w:tc>
        <w:tc>
          <w:tcPr>
            <w:tcW w:type="dxa" w:w="2040"/>
          </w:tcPr>
          <w:p>
            <w:r/>
            <w:r>
              <w:rPr>
                <w:b w:val="0"/>
                <w:sz w:val="17"/>
              </w:rPr>
              <w:t>Evaluar el SRS como apoyo a la pronunciación (EFL)</w:t>
            </w:r>
          </w:p>
        </w:tc>
        <w:tc>
          <w:tcPr>
            <w:tcW w:type="dxa" w:w="2040"/>
          </w:tcPr>
          <w:p>
            <w:r/>
            <w:r>
              <w:rPr>
                <w:b w:val="0"/>
                <w:sz w:val="17"/>
              </w:rPr>
              <w:t>Software de reconocimiento de voz (SRS)</w:t>
            </w:r>
          </w:p>
        </w:tc>
        <w:tc>
          <w:tcPr>
            <w:tcW w:type="dxa" w:w="2040"/>
          </w:tcPr>
          <w:p>
            <w:r/>
            <w:r>
              <w:rPr>
                <w:b w:val="0"/>
                <w:sz w:val="17"/>
              </w:rPr>
              <w:t>Estudio cualitativo (notas, grabaciones, diarios)</w:t>
            </w:r>
          </w:p>
        </w:tc>
        <w:tc>
          <w:tcPr>
            <w:tcW w:type="dxa" w:w="2040"/>
          </w:tcPr>
          <w:p>
            <w:r/>
            <w:r>
              <w:rPr>
                <w:b w:val="0"/>
                <w:sz w:val="17"/>
              </w:rPr>
              <w:t>10 universitarios EFL (Colombia)</w:t>
            </w:r>
          </w:p>
        </w:tc>
        <w:tc>
          <w:tcPr>
            <w:tcW w:type="dxa" w:w="2040"/>
          </w:tcPr>
          <w:p>
            <w:r/>
            <w:r>
              <w:rPr>
                <w:b w:val="0"/>
                <w:sz w:val="17"/>
              </w:rPr>
              <w:t>Herramienta SRS de terceros en aula</w:t>
            </w:r>
          </w:p>
        </w:tc>
      </w:tr>
      <w:tr>
        <w:tc>
          <w:tcPr>
            <w:tcW w:type="dxa" w:w="2040"/>
          </w:tcPr>
          <w:p>
            <w:r/>
            <w:r>
              <w:rPr>
                <w:b/>
                <w:sz w:val="17"/>
              </w:rPr>
              <w:t>García Pazos et al. (2025) [3]</w:t>
            </w:r>
          </w:p>
        </w:tc>
        <w:tc>
          <w:tcPr>
            <w:tcW w:type="dxa" w:w="2040"/>
          </w:tcPr>
          <w:p>
            <w:r/>
            <w:r>
              <w:rPr>
                <w:b w:val="0"/>
                <w:sz w:val="17"/>
              </w:rPr>
              <w:t>Revisión sistemática de software SRS para pronunciación de inglés</w:t>
            </w:r>
          </w:p>
        </w:tc>
        <w:tc>
          <w:tcPr>
            <w:tcW w:type="dxa" w:w="2040"/>
          </w:tcPr>
          <w:p>
            <w:r/>
            <w:r>
              <w:rPr>
                <w:b w:val="0"/>
                <w:sz w:val="17"/>
              </w:rPr>
              <w:t>Comparativa de herramientas SRS</w:t>
            </w:r>
          </w:p>
        </w:tc>
        <w:tc>
          <w:tcPr>
            <w:tcW w:type="dxa" w:w="2040"/>
          </w:tcPr>
          <w:p>
            <w:r/>
            <w:r>
              <w:rPr>
                <w:b w:val="0"/>
                <w:sz w:val="17"/>
              </w:rPr>
              <w:t>Revisión sistemática de literatura</w:t>
            </w:r>
          </w:p>
        </w:tc>
        <w:tc>
          <w:tcPr>
            <w:tcW w:type="dxa" w:w="2040"/>
          </w:tcPr>
          <w:p>
            <w:r/>
            <w:r>
              <w:rPr>
                <w:b w:val="0"/>
                <w:sz w:val="17"/>
              </w:rPr>
              <w:t>EFL (meta-estudio)</w:t>
            </w:r>
          </w:p>
        </w:tc>
        <w:tc>
          <w:tcPr>
            <w:tcW w:type="dxa" w:w="2040"/>
          </w:tcPr>
          <w:p>
            <w:r/>
            <w:r>
              <w:rPr>
                <w:b w:val="0"/>
                <w:sz w:val="17"/>
              </w:rPr>
              <w:t>No aplica (revisión)</w:t>
            </w:r>
          </w:p>
        </w:tc>
      </w:tr>
      <w:tr>
        <w:tc>
          <w:tcPr>
            <w:tcW w:type="dxa" w:w="2040"/>
          </w:tcPr>
          <w:p>
            <w:r/>
            <w:r>
              <w:rPr>
                <w:b/>
                <w:sz w:val="17"/>
              </w:rPr>
              <w:t>Jinga et al. (2024) [4]</w:t>
            </w:r>
          </w:p>
        </w:tc>
        <w:tc>
          <w:tcPr>
            <w:tcW w:type="dxa" w:w="2040"/>
          </w:tcPr>
          <w:p>
            <w:r/>
            <w:r>
              <w:rPr>
                <w:b w:val="0"/>
                <w:sz w:val="17"/>
              </w:rPr>
              <w:t>Reducir el miedo y mejorar el hablar en público</w:t>
            </w:r>
          </w:p>
        </w:tc>
        <w:tc>
          <w:tcPr>
            <w:tcW w:type="dxa" w:w="2040"/>
          </w:tcPr>
          <w:p>
            <w:r/>
            <w:r>
              <w:rPr>
                <w:b w:val="0"/>
                <w:sz w:val="17"/>
              </w:rPr>
              <w:t>Realidad Virtual; análisis de voz + movimiento</w:t>
            </w:r>
          </w:p>
        </w:tc>
        <w:tc>
          <w:tcPr>
            <w:tcW w:type="dxa" w:w="2040"/>
          </w:tcPr>
          <w:p>
            <w:r/>
            <w:r>
              <w:rPr>
                <w:b w:val="0"/>
                <w:sz w:val="17"/>
              </w:rPr>
              <w:t>Métricas en tiempo real + resumen; estudio con usuarios</w:t>
            </w:r>
          </w:p>
        </w:tc>
        <w:tc>
          <w:tcPr>
            <w:tcW w:type="dxa" w:w="2040"/>
          </w:tcPr>
          <w:p>
            <w:r/>
            <w:r>
              <w:rPr>
                <w:b w:val="0"/>
                <w:sz w:val="17"/>
              </w:rPr>
              <w:t>Adultos</w:t>
            </w:r>
          </w:p>
        </w:tc>
        <w:tc>
          <w:tcPr>
            <w:tcW w:type="dxa" w:w="2040"/>
          </w:tcPr>
          <w:p>
            <w:r/>
            <w:r>
              <w:rPr>
                <w:b w:val="0"/>
                <w:sz w:val="17"/>
              </w:rPr>
              <w:t>VR inmersiva (cascos)</w:t>
            </w:r>
          </w:p>
        </w:tc>
      </w:tr>
      <w:tr>
        <w:tc>
          <w:tcPr>
            <w:tcW w:type="dxa" w:w="2040"/>
          </w:tcPr>
          <w:p>
            <w:r/>
            <w:r>
              <w:rPr>
                <w:b/>
                <w:sz w:val="17"/>
              </w:rPr>
              <w:t>Haider et al. (2020) [5]</w:t>
            </w:r>
          </w:p>
        </w:tc>
        <w:tc>
          <w:tcPr>
            <w:tcW w:type="dxa" w:w="2040"/>
          </w:tcPr>
          <w:p>
            <w:r/>
            <w:r>
              <w:rPr>
                <w:b w:val="0"/>
                <w:sz w:val="17"/>
              </w:rPr>
              <w:t>Scoring automático de habilidades de presentación oral + feedback</w:t>
            </w:r>
          </w:p>
        </w:tc>
        <w:tc>
          <w:tcPr>
            <w:tcW w:type="dxa" w:w="2040"/>
          </w:tcPr>
          <w:p>
            <w:r/>
            <w:r>
              <w:rPr>
                <w:b w:val="0"/>
                <w:sz w:val="17"/>
              </w:rPr>
              <w:t>Descriptores audiovisuales + mapas autoorganizados (SOM)</w:t>
            </w:r>
          </w:p>
        </w:tc>
        <w:tc>
          <w:tcPr>
            <w:tcW w:type="dxa" w:w="2040"/>
          </w:tcPr>
          <w:p>
            <w:r/>
            <w:r>
              <w:rPr>
                <w:b w:val="0"/>
                <w:sz w:val="17"/>
              </w:rPr>
              <w:t>Clasificación no supervisada (Active Data Representation)</w:t>
            </w:r>
          </w:p>
        </w:tc>
        <w:tc>
          <w:tcPr>
            <w:tcW w:type="dxa" w:w="2040"/>
          </w:tcPr>
          <w:p>
            <w:r/>
            <w:r>
              <w:rPr>
                <w:b w:val="0"/>
                <w:sz w:val="17"/>
              </w:rPr>
              <w:t>Adultos (presentaciones)</w:t>
            </w:r>
          </w:p>
        </w:tc>
        <w:tc>
          <w:tcPr>
            <w:tcW w:type="dxa" w:w="2040"/>
          </w:tcPr>
          <w:p>
            <w:r/>
            <w:r>
              <w:rPr>
                <w:b w:val="0"/>
                <w:sz w:val="17"/>
              </w:rPr>
              <w:t>Sistema de investigación (video)</w:t>
            </w:r>
          </w:p>
        </w:tc>
      </w:tr>
      <w:tr>
        <w:tc>
          <w:tcPr>
            <w:tcW w:type="dxa" w:w="2040"/>
          </w:tcPr>
          <w:p>
            <w:r/>
            <w:r>
              <w:rPr>
                <w:b/>
                <w:sz w:val="17"/>
              </w:rPr>
              <w:t>Sonnleitner et al. (2025) [6]</w:t>
            </w:r>
          </w:p>
        </w:tc>
        <w:tc>
          <w:tcPr>
            <w:tcW w:type="dxa" w:w="2040"/>
          </w:tcPr>
          <w:p>
            <w:r/>
            <w:r>
              <w:rPr>
                <w:b w:val="0"/>
                <w:sz w:val="17"/>
              </w:rPr>
              <w:t>Predecir el desempeño estudiantil ante 'concept drift'</w:t>
            </w:r>
          </w:p>
        </w:tc>
        <w:tc>
          <w:tcPr>
            <w:tcW w:type="dxa" w:w="2040"/>
          </w:tcPr>
          <w:p>
            <w:r/>
            <w:r>
              <w:rPr>
                <w:b w:val="0"/>
                <w:sz w:val="17"/>
              </w:rPr>
              <w:t>ML: LASSO / regresión lineal</w:t>
            </w:r>
          </w:p>
        </w:tc>
        <w:tc>
          <w:tcPr>
            <w:tcW w:type="dxa" w:w="2040"/>
          </w:tcPr>
          <w:p>
            <w:r/>
            <w:r>
              <w:rPr>
                <w:b w:val="0"/>
                <w:sz w:val="17"/>
              </w:rPr>
              <w:t>Comparación de pipelines; 2 variables 'handcrafted'</w:t>
            </w:r>
          </w:p>
        </w:tc>
        <w:tc>
          <w:tcPr>
            <w:tcW w:type="dxa" w:w="2040"/>
          </w:tcPr>
          <w:p>
            <w:r/>
            <w:r>
              <w:rPr>
                <w:b w:val="0"/>
                <w:sz w:val="17"/>
              </w:rPr>
              <w:t>Educación superior (datos LMS)</w:t>
            </w:r>
          </w:p>
        </w:tc>
        <w:tc>
          <w:tcPr>
            <w:tcW w:type="dxa" w:w="2040"/>
          </w:tcPr>
          <w:p>
            <w:r/>
            <w:r>
              <w:rPr>
                <w:b w:val="0"/>
                <w:sz w:val="17"/>
              </w:rPr>
              <w:t>Estudio de ML (no voz)</w:t>
            </w:r>
          </w:p>
        </w:tc>
      </w:tr>
      <w:tr>
        <w:tc>
          <w:tcPr>
            <w:tcW w:type="dxa" w:w="2040"/>
          </w:tcPr>
          <w:p>
            <w:r/>
            <w:r>
              <w:rPr>
                <w:b/>
                <w:sz w:val="17"/>
              </w:rPr>
              <w:t>NUESTRA PROPUESTA — SRV</w:t>
            </w:r>
          </w:p>
        </w:tc>
        <w:tc>
          <w:tcPr>
            <w:tcW w:type="dxa" w:w="2040"/>
          </w:tcPr>
          <w:p>
            <w:r/>
            <w:r>
              <w:rPr>
                <w:b w:val="0"/>
                <w:sz w:val="17"/>
              </w:rPr>
              <w:t>Retroalimentación formativa de fluidez oral (oratoria)</w:t>
            </w:r>
          </w:p>
        </w:tc>
        <w:tc>
          <w:tcPr>
            <w:tcW w:type="dxa" w:w="2040"/>
          </w:tcPr>
          <w:p>
            <w:r/>
            <w:r>
              <w:rPr>
                <w:b w:val="0"/>
                <w:sz w:val="17"/>
              </w:rPr>
              <w:t>Whisper (faster-whisper) + Praat + BETO/spaCy</w:t>
            </w:r>
          </w:p>
        </w:tc>
        <w:tc>
          <w:tcPr>
            <w:tcW w:type="dxa" w:w="2040"/>
          </w:tcPr>
          <w:p>
            <w:r/>
            <w:r>
              <w:rPr>
                <w:b w:val="0"/>
                <w:sz w:val="17"/>
              </w:rPr>
              <w:t>Scoring por reglas en 3 dimensiones + Levenshtein (WER)</w:t>
            </w:r>
          </w:p>
        </w:tc>
        <w:tc>
          <w:tcPr>
            <w:tcW w:type="dxa" w:w="2040"/>
          </w:tcPr>
          <w:p>
            <w:r/>
            <w:r>
              <w:rPr>
                <w:b w:val="0"/>
                <w:sz w:val="17"/>
              </w:rPr>
              <w:t>Hablantes de español</w:t>
            </w:r>
          </w:p>
        </w:tc>
        <w:tc>
          <w:tcPr>
            <w:tcW w:type="dxa" w:w="2040"/>
          </w:tcPr>
          <w:p>
            <w:r/>
            <w:r>
              <w:rPr>
                <w:b w:val="0"/>
                <w:sz w:val="17"/>
              </w:rPr>
              <w:t>App web (FastAPI+React; Railway/Supabase/Vercel); audio local y efímero</w:t>
            </w:r>
          </w:p>
        </w:tc>
      </w:tr>
    </w:tbl>
    <w:p>
      <w:pPr>
        <w:pStyle w:val="Heading1"/>
      </w:pPr>
      <w:r>
        <w:t>2. Posicionamiento frente al estado del arte</w:t>
      </w:r>
    </w:p>
    <w:tbl>
      <w:tblPr>
        <w:tblStyle w:val="LightGrid-Accent1"/>
        <w:tblW w:type="auto" w:w="0"/>
        <w:jc w:val="center"/>
        <w:tblLook w:firstColumn="1" w:firstRow="1" w:lastColumn="0" w:lastRow="0" w:noHBand="0" w:noVBand="1" w:val="04A0"/>
      </w:tblPr>
      <w:tblGrid>
        <w:gridCol w:w="3060"/>
        <w:gridCol w:w="3060"/>
        <w:gridCol w:w="3060"/>
        <w:gridCol w:w="3060"/>
      </w:tblGrid>
      <w:tr>
        <w:tc>
          <w:tcPr>
            <w:tcW w:type="dxa" w:w="3060"/>
          </w:tcPr>
          <w:p>
            <w:r/>
            <w:r>
              <w:rPr>
                <w:b/>
                <w:sz w:val="18"/>
              </w:rPr>
              <w:t>Eje</w:t>
            </w:r>
          </w:p>
        </w:tc>
        <w:tc>
          <w:tcPr>
            <w:tcW w:type="dxa" w:w="3060"/>
          </w:tcPr>
          <w:p>
            <w:r/>
            <w:r>
              <w:rPr>
                <w:b/>
                <w:sz w:val="18"/>
              </w:rPr>
              <w:t>Estado del arte (antecedentes)</w:t>
            </w:r>
          </w:p>
        </w:tc>
        <w:tc>
          <w:tcPr>
            <w:tcW w:type="dxa" w:w="3060"/>
          </w:tcPr>
          <w:p>
            <w:r/>
            <w:r>
              <w:rPr>
                <w:b/>
                <w:sz w:val="18"/>
              </w:rPr>
              <w:t>Nuestra propuesta (SRV)</w:t>
            </w:r>
          </w:p>
        </w:tc>
        <w:tc>
          <w:tcPr>
            <w:tcW w:type="dxa" w:w="3060"/>
          </w:tcPr>
          <w:p>
            <w:r/>
            <w:r>
              <w:rPr>
                <w:b/>
                <w:sz w:val="18"/>
              </w:rPr>
              <w:t>Nivel</w:t>
            </w:r>
          </w:p>
        </w:tc>
      </w:tr>
      <w:tr>
        <w:tc>
          <w:tcPr>
            <w:tcW w:type="dxa" w:w="3060"/>
          </w:tcPr>
          <w:p>
            <w:r/>
            <w:r>
              <w:rPr>
                <w:b/>
                <w:sz w:val="17"/>
              </w:rPr>
              <w:t>ASR</w:t>
            </w:r>
          </w:p>
        </w:tc>
        <w:tc>
          <w:tcPr>
            <w:tcW w:type="dxa" w:w="3060"/>
          </w:tcPr>
          <w:p>
            <w:r/>
            <w:r>
              <w:rPr>
                <w:b w:val="0"/>
                <w:sz w:val="17"/>
              </w:rPr>
              <w:t>DNN+HMM [1]; audiovisual+SOM [5]; SRS [2,3]</w:t>
            </w:r>
          </w:p>
        </w:tc>
        <w:tc>
          <w:tcPr>
            <w:tcW w:type="dxa" w:w="3060"/>
          </w:tcPr>
          <w:p>
            <w:r/>
            <w:r>
              <w:rPr>
                <w:b w:val="0"/>
                <w:sz w:val="17"/>
              </w:rPr>
              <w:t>Whisper (2022+) con timestamps por palabra</w:t>
            </w:r>
          </w:p>
        </w:tc>
        <w:tc>
          <w:tcPr>
            <w:tcW w:type="dxa" w:w="3060"/>
          </w:tcPr>
          <w:p>
            <w:r/>
            <w:r>
              <w:rPr>
                <w:b w:val="0"/>
                <w:sz w:val="17"/>
              </w:rPr>
              <w:t>A la par / por delante</w:t>
            </w:r>
          </w:p>
        </w:tc>
      </w:tr>
      <w:tr>
        <w:tc>
          <w:tcPr>
            <w:tcW w:type="dxa" w:w="3060"/>
          </w:tcPr>
          <w:p>
            <w:r/>
            <w:r>
              <w:rPr>
                <w:b/>
                <w:sz w:val="17"/>
              </w:rPr>
              <w:t>NLP semántico</w:t>
            </w:r>
          </w:p>
        </w:tc>
        <w:tc>
          <w:tcPr>
            <w:tcW w:type="dxa" w:w="3060"/>
          </w:tcPr>
          <w:p>
            <w:r/>
            <w:r>
              <w:rPr>
                <w:b w:val="0"/>
                <w:sz w:val="17"/>
              </w:rPr>
              <w:t>Escasamente abordado en los antecedentes</w:t>
            </w:r>
          </w:p>
        </w:tc>
        <w:tc>
          <w:tcPr>
            <w:tcW w:type="dxa" w:w="3060"/>
          </w:tcPr>
          <w:p>
            <w:r/>
            <w:r>
              <w:rPr>
                <w:b w:val="0"/>
                <w:sz w:val="17"/>
              </w:rPr>
              <w:t>BETO (BERT en español): coherencia, TTR, muletillas</w:t>
            </w:r>
          </w:p>
        </w:tc>
        <w:tc>
          <w:tcPr>
            <w:tcW w:type="dxa" w:w="3060"/>
          </w:tcPr>
          <w:p>
            <w:r/>
            <w:r>
              <w:rPr>
                <w:b w:val="0"/>
                <w:sz w:val="17"/>
              </w:rPr>
              <w:t>A la par (estado del arte)</w:t>
            </w:r>
          </w:p>
        </w:tc>
      </w:tr>
      <w:tr>
        <w:tc>
          <w:tcPr>
            <w:tcW w:type="dxa" w:w="3060"/>
          </w:tcPr>
          <w:p>
            <w:r/>
            <w:r>
              <w:rPr>
                <w:b/>
                <w:sz w:val="17"/>
              </w:rPr>
              <w:t>Prosodia / rasgos acústicos</w:t>
            </w:r>
          </w:p>
        </w:tc>
        <w:tc>
          <w:tcPr>
            <w:tcW w:type="dxa" w:w="3060"/>
          </w:tcPr>
          <w:p>
            <w:r/>
            <w:r>
              <w:rPr>
                <w:b w:val="0"/>
                <w:sz w:val="17"/>
              </w:rPr>
              <w:t>Extracción de rasgos (p. ej. OpenSMILE)</w:t>
            </w:r>
          </w:p>
        </w:tc>
        <w:tc>
          <w:tcPr>
            <w:tcW w:type="dxa" w:w="3060"/>
          </w:tcPr>
          <w:p>
            <w:r/>
            <w:r>
              <w:rPr>
                <w:b w:val="0"/>
                <w:sz w:val="17"/>
              </w:rPr>
              <w:t>Praat: F0, jitter, shimmer, HNR, intensidad</w:t>
            </w:r>
          </w:p>
        </w:tc>
        <w:tc>
          <w:tcPr>
            <w:tcW w:type="dxa" w:w="3060"/>
          </w:tcPr>
          <w:p>
            <w:r/>
            <w:r>
              <w:rPr>
                <w:b w:val="0"/>
                <w:sz w:val="17"/>
              </w:rPr>
              <w:t>Equivalente</w:t>
            </w:r>
          </w:p>
        </w:tc>
      </w:tr>
      <w:tr>
        <w:tc>
          <w:tcPr>
            <w:tcW w:type="dxa" w:w="3060"/>
          </w:tcPr>
          <w:p>
            <w:r/>
            <w:r>
              <w:rPr>
                <w:b/>
                <w:sz w:val="17"/>
              </w:rPr>
              <w:t>Scoring / evaluación</w:t>
            </w:r>
          </w:p>
        </w:tc>
        <w:tc>
          <w:tcPr>
            <w:tcW w:type="dxa" w:w="3060"/>
          </w:tcPr>
          <w:p>
            <w:r/>
            <w:r>
              <w:rPr>
                <w:b w:val="0"/>
                <w:sz w:val="17"/>
              </w:rPr>
              <w:t>Clasificación ML [5]; ML/LASSO [6]</w:t>
            </w:r>
          </w:p>
        </w:tc>
        <w:tc>
          <w:tcPr>
            <w:tcW w:type="dxa" w:w="3060"/>
          </w:tcPr>
          <w:p>
            <w:r/>
            <w:r>
              <w:rPr>
                <w:b w:val="0"/>
                <w:sz w:val="17"/>
              </w:rPr>
              <w:t>Reglas y umbrales (3 dimensiones)</w:t>
            </w:r>
          </w:p>
        </w:tc>
        <w:tc>
          <w:tcPr>
            <w:tcW w:type="dxa" w:w="3060"/>
          </w:tcPr>
          <w:p>
            <w:r/>
            <w:r>
              <w:rPr>
                <w:b w:val="0"/>
                <w:sz w:val="17"/>
              </w:rPr>
              <w:t>Por debajo — justificado: sin dataset etiquetado; [6] respalda lo simple</w:t>
            </w:r>
          </w:p>
        </w:tc>
      </w:tr>
      <w:tr>
        <w:tc>
          <w:tcPr>
            <w:tcW w:type="dxa" w:w="3060"/>
          </w:tcPr>
          <w:p>
            <w:r/>
            <w:r>
              <w:rPr>
                <w:b/>
                <w:sz w:val="17"/>
              </w:rPr>
              <w:t>Modalidad de despliegue</w:t>
            </w:r>
          </w:p>
        </w:tc>
        <w:tc>
          <w:tcPr>
            <w:tcW w:type="dxa" w:w="3060"/>
          </w:tcPr>
          <w:p>
            <w:r/>
            <w:r>
              <w:rPr>
                <w:b w:val="0"/>
                <w:sz w:val="17"/>
              </w:rPr>
              <w:t>VR inmersiva [4]; video [5]</w:t>
            </w:r>
          </w:p>
        </w:tc>
        <w:tc>
          <w:tcPr>
            <w:tcW w:type="dxa" w:w="3060"/>
          </w:tcPr>
          <w:p>
            <w:r/>
            <w:r>
              <w:rPr>
                <w:b w:val="0"/>
                <w:sz w:val="17"/>
              </w:rPr>
              <w:t>App web accesible</w:t>
            </w:r>
          </w:p>
        </w:tc>
        <w:tc>
          <w:tcPr>
            <w:tcW w:type="dxa" w:w="3060"/>
          </w:tcPr>
          <w:p>
            <w:r/>
            <w:r>
              <w:rPr>
                <w:b w:val="0"/>
                <w:sz w:val="17"/>
              </w:rPr>
              <w:t>Distinto — por viabilidad en entornos acústicamente adversos</w:t>
            </w:r>
          </w:p>
        </w:tc>
      </w:tr>
      <w:tr>
        <w:tc>
          <w:tcPr>
            <w:tcW w:type="dxa" w:w="3060"/>
          </w:tcPr>
          <w:p>
            <w:r/>
            <w:r>
              <w:rPr>
                <w:b/>
                <w:sz w:val="17"/>
              </w:rPr>
              <w:t>Población / contexto</w:t>
            </w:r>
          </w:p>
        </w:tc>
        <w:tc>
          <w:tcPr>
            <w:tcW w:type="dxa" w:w="3060"/>
          </w:tcPr>
          <w:p>
            <w:r/>
            <w:r>
              <w:rPr>
                <w:b w:val="0"/>
                <w:sz w:val="17"/>
              </w:rPr>
              <w:t>Adultos, EFL, educación superior</w:t>
            </w:r>
          </w:p>
        </w:tc>
        <w:tc>
          <w:tcPr>
            <w:tcW w:type="dxa" w:w="3060"/>
          </w:tcPr>
          <w:p>
            <w:r/>
            <w:r>
              <w:rPr>
                <w:b w:val="0"/>
                <w:sz w:val="17"/>
              </w:rPr>
              <w:t>Hablantes de español</w:t>
            </w:r>
          </w:p>
        </w:tc>
        <w:tc>
          <w:tcPr>
            <w:tcW w:type="dxa" w:w="3060"/>
          </w:tcPr>
          <w:p>
            <w:r/>
            <w:r>
              <w:rPr>
                <w:b w:val="0"/>
                <w:sz w:val="17"/>
              </w:rPr>
              <w:t>Aporte diferencial (nicho no atendido)</w:t>
            </w:r>
          </w:p>
        </w:tc>
      </w:tr>
      <w:tr>
        <w:tc>
          <w:tcPr>
            <w:tcW w:type="dxa" w:w="3060"/>
          </w:tcPr>
          <w:p>
            <w:r/>
            <w:r>
              <w:rPr>
                <w:b/>
                <w:sz w:val="17"/>
              </w:rPr>
              <w:t>Ética de datos</w:t>
            </w:r>
          </w:p>
        </w:tc>
        <w:tc>
          <w:tcPr>
            <w:tcW w:type="dxa" w:w="3060"/>
          </w:tcPr>
          <w:p>
            <w:r/>
            <w:r>
              <w:rPr>
                <w:b w:val="0"/>
                <w:sz w:val="17"/>
              </w:rPr>
              <w:t>ASR en la nube / grabación retenida</w:t>
            </w:r>
          </w:p>
        </w:tc>
        <w:tc>
          <w:tcPr>
            <w:tcW w:type="dxa" w:w="3060"/>
          </w:tcPr>
          <w:p>
            <w:r/>
            <w:r>
              <w:rPr>
                <w:b w:val="0"/>
                <w:sz w:val="17"/>
              </w:rPr>
              <w:t>Procesamiento local, audio efímero (no se envía a terceros)</w:t>
            </w:r>
          </w:p>
        </w:tc>
        <w:tc>
          <w:tcPr>
            <w:tcW w:type="dxa" w:w="3060"/>
          </w:tcPr>
          <w:p>
            <w:r/>
            <w:r>
              <w:rPr>
                <w:b w:val="0"/>
                <w:sz w:val="17"/>
              </w:rPr>
              <w:t>Ventaja diferencial</w:t>
            </w:r>
          </w:p>
        </w:tc>
      </w:tr>
    </w:tbl>
    <w:p>
      <w:pPr>
        <w:pStyle w:val="Heading1"/>
      </w:pPr>
      <w:r>
        <w:t>3. ¿Con qué antecedente comparar la app?</w:t>
      </w:r>
    </w:p>
    <w:p>
      <w:pPr>
        <w:pStyle w:val="ListBullet"/>
      </w:pPr>
      <w:r>
        <w:t>Comparador directo principal: Haider et al. (2020) [5] — mismo objetivo (scoring automático de presentación oral + generación de feedback).</w:t>
      </w:r>
    </w:p>
    <w:p>
      <w:pPr>
        <w:pStyle w:val="ListBullet"/>
      </w:pPr>
      <w:r>
        <w:t>Comparador del modelo de feedback: Jinga et al. (2024) [4] — feedback en tiempo real + resumen final (tú en web, ellos en VR).</w:t>
      </w:r>
    </w:p>
    <w:p>
      <w:pPr>
        <w:pStyle w:val="ListBullet"/>
      </w:pPr>
      <w:r>
        <w:t>Comparador de población/contexto: Cevallos &amp; Gómez (2021) [1] — ASR + niños escolares + lectura + español.</w:t>
      </w:r>
    </w:p>
    <w:p>
      <w:pPr>
        <w:pStyle w:val="ListBullet"/>
      </w:pPr>
      <w:r>
        <w:t>Sustento del enfoque simple: Sonnleitner et al. (2025) [6] — modelos simples superan a ML complejo con pocos datos.</w:t>
      </w:r>
    </w:p>
    <w:p>
      <w:pPr>
        <w:pStyle w:val="ListBullet"/>
      </w:pPr>
      <w:r>
        <w:t>Encuadre del estado del arte: Sánchez et al. (2024) [2] y García Pazos et al. (2025) [3] — revisiones de herramientas SRS.</w:t>
      </w:r>
    </w:p>
    <w:p>
      <w:pPr>
        <w:pStyle w:val="Heading1"/>
      </w:pPr>
      <w:r>
        <w:t>4. Puntos clave para la exposición</w:t>
      </w:r>
    </w:p>
    <w:p>
      <w:pPr>
        <w:pStyle w:val="ListBullet"/>
      </w:pPr>
      <w:r>
        <w:t>El núcleo tecnológico (Whisper + BETO + Praat) está al nivel del estado del arte; en ASR es más moderno que [1] (2021) y [5] (2020).</w:t>
      </w:r>
    </w:p>
    <w:p>
      <w:pPr>
        <w:pStyle w:val="ListBullet"/>
      </w:pPr>
      <w:r>
        <w:t>El aporte no es superar un algoritmo, sino trasladar el estado del arte a un segmento poco atendido (hablantes de español) de forma ética y desplegable.</w:t>
      </w:r>
    </w:p>
    <w:p>
      <w:pPr>
        <w:pStyle w:val="ListBullet"/>
      </w:pPr>
      <w:r>
        <w:t>El scoring por reglas se justifica por la ausencia de un dataset etiquetado de voz en español y se respalda en [6].</w:t>
      </w:r>
    </w:p>
    <w:p>
      <w:pPr>
        <w:pStyle w:val="ListBullet"/>
      </w:pPr>
      <w:r>
        <w:t>Ventaja ética: el audio de los usuarios se procesa localmente y se elimina, sin enviarse a servicios de terceros.</w:t>
      </w:r>
    </w:p>
    <w:p>
      <w:pPr>
        <w:pStyle w:val="Heading1"/>
      </w:pPr>
      <w:r>
        <w:t>Referencias</w:t>
      </w:r>
    </w:p>
    <w:p>
      <w:r>
        <w:rPr>
          <w:sz w:val="18"/>
        </w:rPr>
        <w:t>[1] Cevallos Correa, F. L., &amp; Gómez Ríos, M. D. (2021). Reconocimiento automático de voz aplicado a la mejora en el proceso de aprendizaje de lectura en nivel escolar (Trabajo de grado, Ingeniería de Sistemas). Universidad Politécnica Salesiana, Sede Guayaquil, Ecuador.</w:t>
      </w:r>
    </w:p>
    <w:p>
      <w:r>
        <w:rPr>
          <w:sz w:val="18"/>
        </w:rPr>
        <w:t>[2] Sánchez, L., Morales, A., &amp; Rodríguez, I. (2024). Speech Recognition Software as a Tool to Enhance EFL Learners' Pronunciation. Lengua y Sociedad, 23(2), 963–983. https://doi.org/10.15381/lengsoc.v23i2.26074</w:t>
      </w:r>
    </w:p>
    <w:p>
      <w:r>
        <w:rPr>
          <w:sz w:val="18"/>
        </w:rPr>
        <w:t>[3] García Pazos, E. A., Escalante Vega, J. E., Alonso Ramírez, O., &amp; Castañeda Sánchez, F. (2025). Software de reconocimiento de voz para el desarrollo de la pronunciación de inglés: Una revisión sistemática. RITI Journal, 13(29). https://doi.org/10.36825/RITI.13.29.014</w:t>
      </w:r>
    </w:p>
    <w:p>
      <w:r>
        <w:rPr>
          <w:sz w:val="18"/>
        </w:rPr>
        <w:t>[4] Jinga, N., Anghel, A. M., Moldoveanu, F., Moldoveanu, A., Morar, A., &amp; Petrescu, L. (2024). Overcoming Fear and Improving Public Speaking Skills through Adaptive VR Training. Electronics, 13(11), 2042. https://doi.org/10.3390/electronics13112042</w:t>
      </w:r>
    </w:p>
    <w:p>
      <w:r>
        <w:rPr>
          <w:sz w:val="18"/>
        </w:rPr>
        <w:t>[5] Haider, F., Koutsombogera, M., Conlan, O., Vogel, C., Campbell, N., &amp; Luz, S. (2020). An Active Data Representation of Videos for Automatic Scoring of Oral Presentation Delivery Skills and Feedback Generation. Frontiers in Computer Science, 2, 1. https://doi.org/10.3389/fcomp.2020.00001</w:t>
      </w:r>
    </w:p>
    <w:p>
      <w:r>
        <w:rPr>
          <w:sz w:val="18"/>
        </w:rPr>
        <w:t>[6] Sonnleitner, B., Madou, T., Deceuninck, M., Theodosiou, F., &amp; Sagaert, Y. R. (2025). Evaluation of early student performance prediction given concept drift. Computers and Education: Artificial Intelligence, 8, 100369. Elsevier.</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