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left"/>
      </w:pPr>
      <w:r>
        <w:rPr>
          <w:rFonts w:ascii="Calibri" w:hAnsi="Calibri"/>
          <w:b w:val="0"/>
          <w:i w:val="0"/>
          <w:color w:val="64748B"/>
          <w:sz w:val="18"/>
        </w:rPr>
        <w:t>Research Assessment</w:t>
      </w:r>
    </w:p>
    <w:p>
      <w:pPr>
        <w:jc w:val="left"/>
      </w:pPr>
      <w:r>
        <w:rPr>
          <w:rFonts w:ascii="Calibri" w:hAnsi="Calibri"/>
          <w:b/>
          <w:i w:val="0"/>
          <w:color w:val="0F172A"/>
          <w:sz w:val="52"/>
        </w:rPr>
        <w:t>Lexico-Semantic Hybrid Retrieval</w:t>
        <w:br/>
        <w:t>for EU Climate Law</w:t>
      </w:r>
    </w:p>
    <w:p>
      <w:pPr>
        <w:spacing w:before="160"/>
      </w:pPr>
      <w:r>
        <w:rPr>
          <w:rFonts w:ascii="Garamond" w:hAnsi="Garamond"/>
          <w:b w:val="0"/>
          <w:i/>
          <w:color w:val="334155"/>
          <w:sz w:val="26"/>
        </w:rPr>
        <w:t>A candid analysis of where the research stands and what it will take to publish</w:t>
      </w:r>
    </w:p>
    <w:p/>
    <w:p>
      <w:r>
        <w:rPr>
          <w:rFonts w:ascii="Calibri" w:hAnsi="Calibri"/>
          <w:b w:val="0"/>
          <w:i w:val="0"/>
          <w:color w:val="64748B"/>
          <w:sz w:val="20"/>
        </w:rPr>
        <w:t>June 2026</w:t>
      </w:r>
    </w:p>
    <w:p>
      <w:r>
        <w:br w:type="page"/>
      </w:r>
    </w:p>
    <w:p>
      <w:pPr>
        <w:spacing w:before="400" w:after="120"/>
        <w:pBdr>
          <w:bottom w:val="single" w:sz="4" w:space="4" w:color="CBD5E1"/>
        </w:pBdr>
      </w:pPr>
      <w:r>
        <w:rPr>
          <w:rFonts w:ascii="Calibri" w:hAnsi="Calibri"/>
          <w:b/>
          <w:i w:val="0"/>
          <w:color w:val="0F172A"/>
          <w:sz w:val="24"/>
        </w:rPr>
        <w:t>1.  OVERVIEW AND RESEARCH POSITION</w:t>
      </w:r>
    </w:p>
    <w:p>
      <w:pPr>
        <w:spacing w:before="0" w:after="160"/>
        <w:ind w:left="0" w:firstLine="0"/>
      </w:pPr>
      <w:r>
        <w:rPr>
          <w:rFonts w:ascii="Garamond" w:hAnsi="Garamond"/>
          <w:b w:val="0"/>
          <w:i w:val="0"/>
          <w:sz w:val="22"/>
        </w:rPr>
        <w:t>The project is building a retrieval-augmented generation system for EU climate legislation. In plain terms: a user asks a question in natural language, the system finds the most relevant articles from a structured corpus of EU legal texts, and a language model produces an answer that cites its sources explicitly. The system combines two retrieval methods — BM25 for lexical matching and Voyage-law-2 embeddings for semantic similarity — and merges their results using Reciprocal Rank Fusion before passing the top-ranked provisions to the generator.</w:t>
      </w:r>
    </w:p>
    <w:p>
      <w:pPr>
        <w:spacing w:before="0" w:after="160"/>
        <w:ind w:left="0" w:firstLine="0"/>
      </w:pPr>
      <w:r>
        <w:rPr>
          <w:rFonts w:ascii="Garamond" w:hAnsi="Garamond"/>
          <w:b w:val="0"/>
          <w:i w:val="0"/>
          <w:sz w:val="22"/>
        </w:rPr>
        <w:t>The legitimate research question being asked is whether hybrid retrieval offers a measurable advantage over either method alone in the legal domain. This is a reasonable and testable hypothesis. The retrieval literature has established hybrid gains on heterogeneous benchmarks like BEIR, but EU legislative text is a specific and underexplored domain with distinct linguistic properties — formal register, cross-referential structure, multilingual origin, precise statutory terminology — that may interact differently with each retrieval signal. Whether hybrid fusion helps here, by how much, and why, is genuinely worth investigating.</w:t>
      </w:r>
    </w:p>
    <w:p>
      <w:pPr>
        <w:spacing w:before="0" w:after="160"/>
        <w:ind w:left="0" w:firstLine="0"/>
      </w:pPr>
      <w:r>
        <w:rPr>
          <w:rFonts w:ascii="Garamond" w:hAnsi="Garamond"/>
          <w:b w:val="0"/>
          <w:i w:val="0"/>
          <w:sz w:val="22"/>
        </w:rPr>
        <w:t>The project is currently a high-quality engineering prototype. The code is clean, the architecture is sensible, and the components are individually well-motivated. What it is not yet is a research paper. The gap is not technical — it is evidentiary. The core claim has not been empirically tested with sufficient rigour to survive peer review, and the evaluation methodology has structural weaknesses that reviewers at any serious venue will immediately identify. The purpose of this document is to state those weaknesses honestly, explain what publication-grade evidence looks like, and map the concrete path from here to submission.</w:t>
      </w:r>
    </w:p>
    <w:p>
      <w:r>
        <w:br w:type="page"/>
      </w:r>
    </w:p>
    <w:p>
      <w:pPr>
        <w:spacing w:before="400" w:after="120"/>
        <w:pBdr>
          <w:bottom w:val="single" w:sz="4" w:space="4" w:color="CBD5E1"/>
        </w:pBdr>
      </w:pPr>
      <w:r>
        <w:rPr>
          <w:rFonts w:ascii="Calibri" w:hAnsi="Calibri"/>
          <w:b/>
          <w:i w:val="0"/>
          <w:color w:val="0F172A"/>
          <w:sz w:val="24"/>
        </w:rPr>
        <w:t>2.  WHAT THE PROJECT CLAIMS AND WHAT IT CAN ACTUALLY PROVE</w:t>
      </w:r>
    </w:p>
    <w:p>
      <w:pPr>
        <w:spacing w:before="0" w:after="160"/>
        <w:ind w:left="0" w:firstLine="0"/>
      </w:pPr>
      <w:r>
        <w:rPr>
          <w:rFonts w:ascii="Garamond" w:hAnsi="Garamond"/>
          <w:b w:val="0"/>
          <w:i w:val="0"/>
          <w:sz w:val="22"/>
        </w:rPr>
        <w:t>Before anything else, the contribution needs to be defined precisely, because the answer determines which venue is appropriate, what evaluation is required, and how to position against related work. There are at least three distinct things this project could be arguing.</w:t>
      </w:r>
    </w:p>
    <w:p>
      <w:pPr>
        <w:spacing w:before="280" w:after="80"/>
      </w:pPr>
      <w:r>
        <w:rPr>
          <w:rFonts w:ascii="Calibri" w:hAnsi="Calibri"/>
          <w:b/>
          <w:i w:val="0"/>
          <w:color w:val="0F172A"/>
          <w:sz w:val="23"/>
        </w:rPr>
        <w:t>The engineering claim</w:t>
      </w:r>
    </w:p>
    <w:p>
      <w:pPr>
        <w:spacing w:before="0" w:after="160"/>
        <w:ind w:left="0" w:firstLine="0"/>
      </w:pPr>
      <w:r>
        <w:rPr>
          <w:rFonts w:ascii="Garamond" w:hAnsi="Garamond"/>
          <w:b w:val="0"/>
          <w:i w:val="0"/>
          <w:sz w:val="22"/>
        </w:rPr>
        <w:t>The system works: given a legal question, it retrieves relevant EU articles and produces a grounded, cited answer. This claim is essentially already supported. The pipeline runs, the retrieval components are tested, and the generation prompt enforces citation discipline. This is not enough for a research paper on its own — systems papers require either a significant technical novelty or compelling evidence of real-world utility, and this system applies established methods to a new domain, which is contribution adjacent but not contribution sufficient.</w:t>
      </w:r>
    </w:p>
    <w:p>
      <w:pPr>
        <w:spacing w:before="280" w:after="80"/>
      </w:pPr>
      <w:r>
        <w:rPr>
          <w:rFonts w:ascii="Calibri" w:hAnsi="Calibri"/>
          <w:b/>
          <w:i w:val="0"/>
          <w:color w:val="0F172A"/>
          <w:sz w:val="23"/>
        </w:rPr>
        <w:t>The empirical IR claim</w:t>
      </w:r>
    </w:p>
    <w:p>
      <w:pPr>
        <w:spacing w:before="0" w:after="160"/>
        <w:ind w:left="0" w:firstLine="0"/>
      </w:pPr>
      <w:r>
        <w:rPr>
          <w:rFonts w:ascii="Garamond" w:hAnsi="Garamond"/>
          <w:b w:val="0"/>
          <w:i w:val="0"/>
          <w:sz w:val="22"/>
        </w:rPr>
        <w:t>Hybrid retrieval outperforms sparse-only and dense-only baselines on EU legislative text. This is the core scientific claim and the one worth pursuing. It is testable, it connects to a live debate in the IR community about when lexical and semantic signals should be combined, and it produces a concrete number that reviewers can evaluate. This claim is currently unsupported — not disproven, but never actually measured. The baseline comparison infrastructure exists in the codebase but the experiments have not been run with real indices.</w:t>
      </w:r>
    </w:p>
    <w:p>
      <w:pPr>
        <w:spacing w:before="280" w:after="80"/>
      </w:pPr>
      <w:r>
        <w:rPr>
          <w:rFonts w:ascii="Calibri" w:hAnsi="Calibri"/>
          <w:b/>
          <w:i w:val="0"/>
          <w:color w:val="0F172A"/>
          <w:sz w:val="23"/>
        </w:rPr>
        <w:t>The corpus contribution</w:t>
      </w:r>
    </w:p>
    <w:p>
      <w:pPr>
        <w:spacing w:before="0" w:after="160"/>
        <w:ind w:left="0" w:firstLine="0"/>
      </w:pPr>
      <w:r>
        <w:rPr>
          <w:rFonts w:ascii="Garamond" w:hAnsi="Garamond"/>
          <w:b w:val="0"/>
          <w:i w:val="0"/>
          <w:sz w:val="22"/>
        </w:rPr>
        <w:t>A structured, article-level corpus of 57 EU climate law documents has been built, with a reproducible ETL pipeline from the EU CELLAR database. This is arguably the most concrete and immediate contribution in the project. EU legislative text in machine-readable, article-level structured format is genuinely scarce. The MultiLegal benchmark and the EUR-Lex datasets that exist tend to operate at document level or focus on different tasks (classification, summarisation). A retrieval-optimised, article-level corpus with a gold-standard evaluation set would be useful infrastructure for the legal NLP community. This contribution does not require the hybrid retrieval claim to hold — it is valuable independently.</w:t>
      </w:r>
    </w:p>
    <w:p>
      <w:pPr>
        <w:spacing w:before="200" w:after="200"/>
        <w:ind w:left="680" w:right="680"/>
      </w:pPr>
      <w:r>
        <w:rPr>
          <w:rFonts w:ascii="Garamond" w:hAnsi="Garamond"/>
          <w:b w:val="0"/>
          <w:i/>
          <w:color w:val="334155"/>
          <w:sz w:val="22"/>
        </w:rPr>
        <w:t>The strongest version of this paper leads with the corpus and the evaluation methodology, uses the hybrid retrieval comparison as the primary experiment, and positions the generation component as downstream validation rather than the main claim.</w:t>
      </w:r>
    </w:p>
    <w:p>
      <w:pPr>
        <w:spacing w:before="400" w:after="120"/>
        <w:pBdr>
          <w:bottom w:val="single" w:sz="4" w:space="4" w:color="CBD5E1"/>
        </w:pBdr>
      </w:pPr>
      <w:r>
        <w:rPr>
          <w:rFonts w:ascii="Calibri" w:hAnsi="Calibri"/>
          <w:b/>
          <w:i w:val="0"/>
          <w:color w:val="0F172A"/>
          <w:sz w:val="24"/>
        </w:rPr>
        <w:t>3.  THE CORPUS: GENUINE CONTRIBUTION AND HONEST LIMITATIONS</w:t>
      </w:r>
    </w:p>
    <w:p>
      <w:pPr>
        <w:spacing w:before="0" w:after="160"/>
        <w:ind w:left="0" w:firstLine="0"/>
      </w:pPr>
      <w:r>
        <w:rPr>
          <w:rFonts w:ascii="Garamond" w:hAnsi="Garamond"/>
          <w:b w:val="0"/>
          <w:i w:val="0"/>
          <w:sz w:val="22"/>
        </w:rPr>
        <w:t>The corpus consists of 825 legislative article texts extracted from 57 EU climate and sustainability instruments. These span the core EU climate acquis: the ETS Directive, CBAM, the Taxonomy Regulation, LULUCF, the Effort Sharing Regulation, F-Gas, the MRV regulations, and the European Climate Law, among others. The ETL pipeline extracts from Formex XML via the CELLAR SPARQL endpoint, caching raw downloads and writing a clean JSONL corpus with Pydantic validation at the output boundary. The methodology is documented and reproducible from the committed code.</w:t>
      </w:r>
    </w:p>
    <w:p>
      <w:pPr>
        <w:spacing w:before="0" w:after="160"/>
        <w:ind w:left="0" w:firstLine="0"/>
      </w:pPr>
      <w:r>
        <w:rPr>
          <w:rFonts w:ascii="Garamond" w:hAnsi="Garamond"/>
          <w:b w:val="0"/>
          <w:i w:val="0"/>
          <w:sz w:val="22"/>
        </w:rPr>
        <w:t>What makes this interesting is the granularity. Most existing legal NLP datasets operate at document level, paragraph level, or section level with arbitrary window boundaries. Article-level chunking aligns with actual legal citation practice — practitioners cite 'Article 3 of Regulation 2020/852', not 'the third paragraph beginning on page 12'. This alignment between the retrieval unit and the citation unit is meaningful and distinguishes the corpus from generic document collections.</w:t>
      </w:r>
    </w:p>
    <w:p>
      <w:pPr>
        <w:spacing w:before="280" w:after="80"/>
      </w:pPr>
      <w:r>
        <w:rPr>
          <w:rFonts w:ascii="Calibri" w:hAnsi="Calibri"/>
          <w:b/>
          <w:i w:val="0"/>
          <w:color w:val="0F172A"/>
          <w:sz w:val="23"/>
        </w:rPr>
        <w:t>Coverage and its limits</w:t>
      </w:r>
    </w:p>
    <w:p>
      <w:pPr>
        <w:spacing w:before="0" w:after="160"/>
        <w:ind w:left="0" w:firstLine="0"/>
      </w:pPr>
      <w:r>
        <w:rPr>
          <w:rFonts w:ascii="Garamond" w:hAnsi="Garamond"/>
          <w:b w:val="0"/>
          <w:i w:val="0"/>
          <w:sz w:val="22"/>
        </w:rPr>
        <w:t>The current scope is primary legislation — Directives and Regulations in sector 3 of the CELEX classification. This is a defensible scope for an initial study but it excludes delegated acts, implementing regulations, Decisions, and guidance documents that practitioners rely on heavily. More critically for the evaluation, two of the twelve gold-standard queries reference instruments that are not in the corpus: the Sustainable Finance Disclosure Regulation (2019/2088) and the CO2 standards for new cars (2023/851). These queries will always produce zero relevant documents regardless of retrieval quality. They are measuring corpus coverage, not retrieval effectiveness, and they silently depress the reported metrics. They must either be removed from the evaluation set with a clear explanation, or the corresponding documents must be added to the corpus.</w:t>
      </w:r>
    </w:p>
    <w:p>
      <w:pPr>
        <w:spacing w:before="280" w:after="80"/>
      </w:pPr>
      <w:r>
        <w:rPr>
          <w:rFonts w:ascii="Calibri" w:hAnsi="Calibri"/>
          <w:b/>
          <w:i w:val="0"/>
          <w:color w:val="0F172A"/>
          <w:sz w:val="23"/>
        </w:rPr>
        <w:t>The temporal problem</w:t>
      </w:r>
    </w:p>
    <w:p>
      <w:pPr>
        <w:spacing w:before="0" w:after="160"/>
        <w:ind w:left="0" w:firstLine="0"/>
      </w:pPr>
      <w:r>
        <w:rPr>
          <w:rFonts w:ascii="Garamond" w:hAnsi="Garamond"/>
          <w:b w:val="0"/>
          <w:i w:val="0"/>
          <w:sz w:val="22"/>
        </w:rPr>
        <w:t>EU legislation is amended frequently. The corpus represents a snapshot. The ETS Directive alone has been amended more than a dozen times; the system currently contains one version. For a research paper, the correct approach is to document the corpus version explicitly — list the CELEX IDs, the download date, and the version accessed. This does not need to be solved; it needs to be acknowledged as a limitation with a brief note about why it does not invalidate the retrieval findings.</w:t>
      </w:r>
    </w:p>
    <w:p>
      <w:pPr>
        <w:spacing w:before="120" w:after="120"/>
        <w:ind w:left="454"/>
      </w:pPr>
      <w:r>
        <w:rPr>
          <w:rFonts w:ascii="Calibri" w:hAnsi="Calibri"/>
          <w:b/>
          <w:i w:val="0"/>
          <w:color w:val="15803D"/>
          <w:sz w:val="20"/>
        </w:rPr>
        <w:t xml:space="preserve">For paper:  </w:t>
      </w:r>
      <w:r>
        <w:rPr>
          <w:rFonts w:ascii="Garamond" w:hAnsi="Garamond"/>
          <w:b w:val="0"/>
          <w:i w:val="0"/>
          <w:color w:val="334155"/>
          <w:sz w:val="21"/>
        </w:rPr>
        <w:t>Release the corpus and gold standard under an open licence (CC-BY or equivalent). This is the single action most likely to increase citation count. Include a data statement describing coverage, construction methodology, and known gaps.</w:t>
      </w:r>
    </w:p>
    <w:p>
      <w:r>
        <w:br w:type="page"/>
      </w:r>
    </w:p>
    <w:p>
      <w:pPr>
        <w:spacing w:before="400" w:after="120"/>
        <w:pBdr>
          <w:bottom w:val="single" w:sz="4" w:space="4" w:color="CBD5E1"/>
        </w:pBdr>
      </w:pPr>
      <w:r>
        <w:rPr>
          <w:rFonts w:ascii="Calibri" w:hAnsi="Calibri"/>
          <w:b/>
          <w:i w:val="0"/>
          <w:color w:val="0F172A"/>
          <w:sz w:val="24"/>
        </w:rPr>
        <w:t>4.  RETRIEVAL ARCHITECTURE: WHAT WORKS AND WHAT REMAINS ASSUMED</w:t>
      </w:r>
    </w:p>
    <w:p>
      <w:pPr>
        <w:spacing w:before="0" w:after="160"/>
        <w:ind w:left="0" w:firstLine="0"/>
      </w:pPr>
      <w:r>
        <w:rPr>
          <w:rFonts w:ascii="Garamond" w:hAnsi="Garamond"/>
          <w:b w:val="0"/>
          <w:i w:val="0"/>
          <w:sz w:val="22"/>
        </w:rPr>
        <w:t>The retrieval design is technically sound. BM25 and dense retrieval are complementary in principle — BM25 rewards documents containing the exact query terms, while dense retrieval rewards documents semantically similar to the query regardless of surface form. EU legislation presents both challenges simultaneously: it uses highly specific statutory terminology that must match exactly (favoring BM25) and is queried in natural language that frequently paraphrases rather than quotes the statute (favoring dense retrieval). The hypothesis that combining both signals improves recall at any given rank is well-motivated.</w:t>
      </w:r>
    </w:p>
    <w:p>
      <w:pPr>
        <w:spacing w:before="280" w:after="80"/>
      </w:pPr>
      <w:r>
        <w:rPr>
          <w:rFonts w:ascii="Calibri" w:hAnsi="Calibri"/>
          <w:b/>
          <w:i w:val="0"/>
          <w:color w:val="0F172A"/>
          <w:sz w:val="23"/>
        </w:rPr>
        <w:t>Reciprocal Rank Fusion</w:t>
      </w:r>
    </w:p>
    <w:p>
      <w:pPr>
        <w:spacing w:before="0" w:after="160"/>
        <w:ind w:left="0" w:firstLine="0"/>
      </w:pPr>
      <w:r>
        <w:rPr>
          <w:rFonts w:ascii="Garamond" w:hAnsi="Garamond"/>
          <w:b w:val="0"/>
          <w:i w:val="0"/>
          <w:sz w:val="22"/>
        </w:rPr>
        <w:t>The choice of RRF as the fusion mechanism is well-justified for this context. The BM25 scores are unbounded positive reals; cosine similarities from the dense retriever are in [−1, 1] after normalisation. Any attempt to combine raw scores would require either score normalisation — which introduces its own assumptions — or a learned fusion weight, which would require labelled training data that does not exist here. RRF sidesteps both problems entirely by operating on ranks rather than scores. The k=60 constant is the empirically validated default from Cormack, Clarke, and Buettcher (2009) and is appropriate as a starting point. Whether a different value of k improves performance on legal retrieval specifically is an experiment worth running as an ablation, but the default is not wrong.</w:t>
      </w:r>
    </w:p>
    <w:p>
      <w:pPr>
        <w:spacing w:before="280" w:after="80"/>
      </w:pPr>
      <w:r>
        <w:rPr>
          <w:rFonts w:ascii="Calibri" w:hAnsi="Calibri"/>
          <w:b/>
          <w:i w:val="0"/>
          <w:color w:val="0F172A"/>
          <w:sz w:val="23"/>
        </w:rPr>
        <w:t>The embedding model question</w:t>
      </w:r>
    </w:p>
    <w:p>
      <w:pPr>
        <w:spacing w:before="0" w:after="160"/>
        <w:ind w:left="0" w:firstLine="0"/>
      </w:pPr>
      <w:r>
        <w:rPr>
          <w:rFonts w:ascii="Garamond" w:hAnsi="Garamond"/>
          <w:b w:val="0"/>
          <w:i w:val="0"/>
          <w:sz w:val="22"/>
        </w:rPr>
        <w:t>The system uses Voyage-law-2, a commercial embedding model fine-tuned on legal text. The decision is justifiable — domain-adapted embeddings have shown consistent improvements on domain-specific retrieval tasks — but it has not been validated on this corpus. Voyage AI's published benchmarks cover primarily common-law jurisdictions (US, UK); EU legislative drafting is a meaningfully different linguistic register and it is not obvious that fine-tuning on case law transfers to statutory text. For a published paper, this assumption must be tested. Running the same pipeline with BGE-M3 and E5-large-v2 — both strong, freely available models — would either confirm that domain-adapted embeddings help, which strengthens the paper, or show that a free model performs comparably, which is also an interesting finding. Either outcome is worth reporting.</w:t>
      </w:r>
    </w:p>
    <w:p>
      <w:pPr>
        <w:spacing w:before="280" w:after="80"/>
      </w:pPr>
      <w:r>
        <w:rPr>
          <w:rFonts w:ascii="Calibri" w:hAnsi="Calibri"/>
          <w:b/>
          <w:i w:val="0"/>
          <w:color w:val="0F172A"/>
          <w:sz w:val="23"/>
        </w:rPr>
        <w:t>What the architecture does not include</w:t>
      </w:r>
    </w:p>
    <w:p>
      <w:pPr>
        <w:spacing w:before="0" w:after="160"/>
        <w:ind w:left="0" w:firstLine="0"/>
      </w:pPr>
      <w:r>
        <w:rPr>
          <w:rFonts w:ascii="Garamond" w:hAnsi="Garamond"/>
          <w:b w:val="0"/>
          <w:i w:val="0"/>
          <w:sz w:val="22"/>
        </w:rPr>
        <w:t>There is no query expansion, no cross-encoder reranking, and no relevance feedback. These are not oversights — they are deliberate scope decisions that keep the system interpretable and the experimental comparisons clean. A paper arguing for hybrid fusion should not complicate the attribution of gains by adding reranking on top; that can be future work. The simpler the system, the clearer the causal story about why the numbers move the way they do.</w:t>
      </w:r>
    </w:p>
    <w:p>
      <w:pPr>
        <w:spacing w:before="400" w:after="120"/>
        <w:pBdr>
          <w:bottom w:val="single" w:sz="4" w:space="4" w:color="CBD5E1"/>
        </w:pBdr>
      </w:pPr>
      <w:r>
        <w:rPr>
          <w:rFonts w:ascii="Calibri" w:hAnsi="Calibri"/>
          <w:b/>
          <w:i w:val="0"/>
          <w:color w:val="0F172A"/>
          <w:sz w:val="24"/>
        </w:rPr>
        <w:t>5.  EVALUATION: THE CRITICAL GAP</w:t>
      </w:r>
    </w:p>
    <w:p>
      <w:pPr>
        <w:spacing w:before="0" w:after="160"/>
        <w:ind w:left="0" w:firstLine="0"/>
      </w:pPr>
      <w:r>
        <w:rPr>
          <w:rFonts w:ascii="Garamond" w:hAnsi="Garamond"/>
          <w:b w:val="0"/>
          <w:i w:val="0"/>
          <w:sz w:val="22"/>
        </w:rPr>
        <w:t>This section will be the most difficult to read because it describes the project's most significant weakness. The evaluation infrastructure is correctly designed — Hit_Rate@5 and MRR@5 are appropriate metrics for this retrieval task — but the evaluation data is far too small to support reliable conclusions.</w:t>
      </w:r>
    </w:p>
    <w:p>
      <w:pPr>
        <w:spacing w:before="280" w:after="80"/>
      </w:pPr>
      <w:r>
        <w:rPr>
          <w:rFonts w:ascii="Calibri" w:hAnsi="Calibri"/>
          <w:b/>
          <w:i w:val="0"/>
          <w:color w:val="0F172A"/>
          <w:sz w:val="23"/>
        </w:rPr>
        <w:t>The sample size problem</w:t>
      </w:r>
    </w:p>
    <w:p>
      <w:pPr>
        <w:spacing w:before="0" w:after="160"/>
        <w:ind w:left="0" w:firstLine="0"/>
      </w:pPr>
      <w:r>
        <w:rPr>
          <w:rFonts w:ascii="Garamond" w:hAnsi="Garamond"/>
          <w:b w:val="0"/>
          <w:i w:val="0"/>
          <w:sz w:val="22"/>
        </w:rPr>
        <w:t>Twelve queries is not enough. This is not a matter of preference or conservatism; it is arithmetic. At n=12, the 95% confidence interval for a proportion is approximately ±0.14 using the Wilson score interval. A reported Hit_Rate of 0.75 is statistically consistent with a true rate anywhere from roughly 0.46 to 0.92. A difference of 0.08 between the hybrid system and a baseline — which would look meaningful in a table — is well within this margin and could easily be explained by random variation in twelve queries rather than a genuine system advantage. Any reviewer at ECIR, SIGIR, or a competitive NLP venue will notice this immediately and will not accept the findings as evidence of a real effect.</w:t>
      </w:r>
    </w:p>
    <w:p>
      <w:pPr>
        <w:spacing w:before="0" w:after="160"/>
        <w:ind w:left="0" w:firstLine="0"/>
      </w:pPr>
      <w:r>
        <w:rPr>
          <w:rFonts w:ascii="Garamond" w:hAnsi="Garamond"/>
          <w:b w:val="0"/>
          <w:i w:val="0"/>
          <w:sz w:val="22"/>
        </w:rPr>
        <w:t>The minimum threshold for a credible retrieval evaluation in the contemporary literature is around 50 queries; TREC-style evaluations typically use hundreds. For a domain-specific system with a bounded corpus like this one, 50 to 100 carefully constructed queries is a realistic and sufficient target. This is the single most important thing to fix before submission, and it is achievable. EU climate law is a bounded domain with well-defined question types — compliance obligations, definition of terms, procedural requirements, reporting deadlines, scope inclusions and exclusions. Generating 60 additional questions covering these types systematically is one to two weeks of focused work.</w:t>
      </w:r>
    </w:p>
    <w:p>
      <w:pPr>
        <w:spacing w:before="280" w:after="80"/>
      </w:pPr>
      <w:r>
        <w:rPr>
          <w:rFonts w:ascii="Calibri" w:hAnsi="Calibri"/>
          <w:b/>
          <w:i w:val="0"/>
          <w:color w:val="0F172A"/>
          <w:sz w:val="23"/>
        </w:rPr>
        <w:t>Gold standard construction</w:t>
      </w:r>
    </w:p>
    <w:p>
      <w:pPr>
        <w:spacing w:before="0" w:after="160"/>
        <w:ind w:left="0" w:firstLine="0"/>
      </w:pPr>
      <w:r>
        <w:rPr>
          <w:rFonts w:ascii="Garamond" w:hAnsi="Garamond"/>
          <w:b w:val="0"/>
          <w:i w:val="0"/>
          <w:sz w:val="22"/>
        </w:rPr>
        <w:t>The current gold standard was constructed by the same researcher who designed the system. This is a common situation in domain-specific research prototypes and is not disqualifying on its own, but it requires acknowledgement and mitigation. The risk is not dishonesty — it is that query construction, even with the best intentions, tends to produce questions that the system can answer. Queries that expose weaknesses are harder to generate precisely because one does not know in advance what those weaknesses are.</w:t>
      </w:r>
    </w:p>
    <w:p>
      <w:pPr>
        <w:spacing w:before="0" w:after="160"/>
        <w:ind w:left="0" w:firstLine="0"/>
      </w:pPr>
      <w:r>
        <w:rPr>
          <w:rFonts w:ascii="Garamond" w:hAnsi="Garamond"/>
          <w:b w:val="0"/>
          <w:i w:val="0"/>
          <w:sz w:val="22"/>
        </w:rPr>
        <w:t>The most effective mitigation is to involve an independent annotator, ideally someone with domain knowledge of EU law, in query construction. Even having a second person review and augment the query set without access to the system's outputs would materially improve the credibility of the evaluation. If that is not possible, then the methodology section of the paper should describe the construction process explicitly and acknowledge the limitation.</w:t>
      </w:r>
    </w:p>
    <w:p>
      <w:pPr>
        <w:spacing w:before="280" w:after="80"/>
      </w:pPr>
      <w:r>
        <w:rPr>
          <w:rFonts w:ascii="Calibri" w:hAnsi="Calibri"/>
          <w:b/>
          <w:i w:val="0"/>
          <w:color w:val="0F172A"/>
          <w:sz w:val="23"/>
        </w:rPr>
        <w:t>What is being measured and what is not</w:t>
      </w:r>
    </w:p>
    <w:p>
      <w:pPr>
        <w:spacing w:before="0" w:after="160"/>
        <w:ind w:left="0" w:firstLine="0"/>
      </w:pPr>
      <w:r>
        <w:rPr>
          <w:rFonts w:ascii="Garamond" w:hAnsi="Garamond"/>
          <w:b w:val="0"/>
          <w:i w:val="0"/>
          <w:sz w:val="22"/>
        </w:rPr>
        <w:t>Hit_Rate@5 and MRR@5 measure retrieval quality — does the relevant document appear in the top five results? They do not measure whether the retrieved article is actually useful for answering the question, whether the generated answer is legally accurate, or whether the citation the model produces is used correctly in context. For a paper focused on retrieval, this is acceptable. For a paper that presents the full RAG system as its contribution, it is a significant gap. The generation component needs at least a small human evaluation — rating 20 to 30 generated answers on a simple scale of correct, partially correct, or incorrect — to make any claim about the system's utility beyond retrieval.</w:t>
      </w:r>
    </w:p>
    <w:p>
      <w:pPr>
        <w:spacing w:before="120" w:after="120"/>
        <w:ind w:left="454"/>
      </w:pPr>
      <w:r>
        <w:rPr>
          <w:rFonts w:ascii="Calibri" w:hAnsi="Calibri"/>
          <w:b/>
          <w:i w:val="0"/>
          <w:color w:val="991B1B"/>
          <w:sz w:val="20"/>
        </w:rPr>
        <w:t xml:space="preserve">Critical path:  </w:t>
      </w:r>
      <w:r>
        <w:rPr>
          <w:rFonts w:ascii="Garamond" w:hAnsi="Garamond"/>
          <w:b w:val="0"/>
          <w:i w:val="0"/>
          <w:color w:val="334155"/>
          <w:sz w:val="21"/>
        </w:rPr>
        <w:t>Expand the gold standard to at minimum 50 queries before running any experiments intended for publication. Report confidence intervals alongside point estimates. Run McNemar's test or a permutation test when comparing systems.</w:t>
      </w:r>
    </w:p>
    <w:p>
      <w:r>
        <w:br w:type="page"/>
      </w:r>
    </w:p>
    <w:p>
      <w:pPr>
        <w:spacing w:before="400" w:after="120"/>
        <w:pBdr>
          <w:bottom w:val="single" w:sz="4" w:space="4" w:color="CBD5E1"/>
        </w:pBdr>
      </w:pPr>
      <w:r>
        <w:rPr>
          <w:rFonts w:ascii="Calibri" w:hAnsi="Calibri"/>
          <w:b/>
          <w:i w:val="0"/>
          <w:color w:val="0F172A"/>
          <w:sz w:val="24"/>
        </w:rPr>
        <w:t>6.  THE GENERATION COMPONENT AND ITS ROLE IN THE PAPER</w:t>
      </w:r>
    </w:p>
    <w:p>
      <w:pPr>
        <w:spacing w:before="0" w:after="160"/>
        <w:ind w:left="0" w:firstLine="0"/>
      </w:pPr>
      <w:r>
        <w:rPr>
          <w:rFonts w:ascii="Garamond" w:hAnsi="Garamond"/>
          <w:b w:val="0"/>
          <w:i w:val="0"/>
          <w:sz w:val="22"/>
        </w:rPr>
        <w:t>The generation pipeline uses Claude with a strict citation-grounding prompt: the model may only draw on the provided legislative provisions, every substantive claim must be cited at article level, and the model must explicitly acknowledge when the provided context is insufficient. This design is appropriate for the legal domain, where hallucination has real consequences.</w:t>
      </w:r>
    </w:p>
    <w:p>
      <w:pPr>
        <w:spacing w:before="0" w:after="160"/>
        <w:ind w:left="0" w:firstLine="0"/>
      </w:pPr>
      <w:r>
        <w:rPr>
          <w:rFonts w:ascii="Garamond" w:hAnsi="Garamond"/>
          <w:b w:val="0"/>
          <w:i w:val="0"/>
          <w:sz w:val="22"/>
        </w:rPr>
        <w:t>For publication purposes, there is a question about what role the generation component should play in the paper. If the paper's primary claim is about retrieval — that hybrid fusion outperforms single-retriever approaches on EU legal text — then generation is downstream validation. It demonstrates that better retrieval produces better answer context, but the core finding lives in the Hit_Rate and MRR numbers. This framing is cleaner and requires less additional evaluation.</w:t>
      </w:r>
    </w:p>
    <w:p>
      <w:pPr>
        <w:spacing w:before="0" w:after="160"/>
        <w:ind w:left="0" w:firstLine="0"/>
      </w:pPr>
      <w:r>
        <w:rPr>
          <w:rFonts w:ascii="Garamond" w:hAnsi="Garamond"/>
          <w:b w:val="0"/>
          <w:i w:val="0"/>
          <w:sz w:val="22"/>
        </w:rPr>
        <w:t>If the paper wants to make claims about the quality of the generated answers — accuracy, completeness, legal correctness — then human evaluation becomes mandatory. Automated metrics like ROUGE or BERTScore are not informative for factual legal accuracy. There is no way around human annotation for this claim, but the annotation task is not large. Twenty to thirty queries with three annotators each, using a simple rubric, would provide adequate signal and is not an unreasonable ask for a research paper in this space.</w:t>
      </w:r>
    </w:p>
    <w:p>
      <w:pPr>
        <w:spacing w:before="0" w:after="160"/>
        <w:ind w:left="0" w:firstLine="0"/>
      </w:pPr>
      <w:r>
        <w:rPr>
          <w:rFonts w:ascii="Garamond" w:hAnsi="Garamond"/>
          <w:b w:val="0"/>
          <w:i w:val="0"/>
          <w:sz w:val="22"/>
        </w:rPr>
        <w:t>The citation extraction mechanism in the current implementation checks whether a citation string appears in the generated text. This is naive. A citation could appear in a negative context — 'Article 3 does not apply in this case' — and still be counted. If citation accuracy is to be reported, this needs to be either improved programmatically or validated through manual spot-checking.</w:t>
      </w:r>
    </w:p>
    <w:p>
      <w:pPr>
        <w:spacing w:before="400" w:after="120"/>
        <w:pBdr>
          <w:bottom w:val="single" w:sz="4" w:space="4" w:color="CBD5E1"/>
        </w:pBdr>
      </w:pPr>
      <w:r>
        <w:rPr>
          <w:rFonts w:ascii="Calibri" w:hAnsi="Calibri"/>
          <w:b/>
          <w:i w:val="0"/>
          <w:color w:val="0F172A"/>
          <w:sz w:val="24"/>
        </w:rPr>
        <w:t>7.  RELATED WORK AND POSITIONING</w:t>
      </w:r>
    </w:p>
    <w:p>
      <w:pPr>
        <w:spacing w:before="0" w:after="160"/>
        <w:ind w:left="0" w:firstLine="0"/>
      </w:pPr>
      <w:r>
        <w:rPr>
          <w:rFonts w:ascii="Garamond" w:hAnsi="Garamond"/>
          <w:b w:val="0"/>
          <w:i w:val="0"/>
          <w:sz w:val="22"/>
        </w:rPr>
        <w:t>The honest assessment of novelty is this: the individual components of the system — BM25, dense retrieval, RRF fusion, RAG with language models — are all well-established methods. Their combination is also not novel in general. The novelty argument must therefore rest on the domain application and on what the study reveals about these methods in a context where they have not been systematically evaluated.</w:t>
      </w:r>
    </w:p>
    <w:p>
      <w:pPr>
        <w:spacing w:before="0" w:after="160"/>
        <w:ind w:left="0" w:firstLine="0"/>
      </w:pPr>
      <w:r>
        <w:rPr>
          <w:rFonts w:ascii="Garamond" w:hAnsi="Garamond"/>
          <w:b w:val="0"/>
          <w:i w:val="0"/>
          <w:sz w:val="22"/>
        </w:rPr>
        <w:t>The legal IR literature does have prior work worth engaging with. The LEGAL-BERT work (Chalkidis et al., 2020) established domain-adapted language models for legal tasks. The COLIEE shared task has benchmarked retrieval systems on legal question answering using Japanese and Canadian case law. The MultiLegalPile dataset provides large-scale multilingual legal text. The LexGLUE benchmark covers legal classification tasks. What is genuinely sparse in the literature is retrieval evaluation specifically on EU primary legislation at article level, and hybrid retrieval comparison in the EU legal domain specifically. That gap is what gives the paper its justification.</w:t>
      </w:r>
    </w:p>
    <w:p>
      <w:pPr>
        <w:spacing w:before="0" w:after="160"/>
        <w:ind w:left="0" w:firstLine="0"/>
      </w:pPr>
      <w:r>
        <w:rPr>
          <w:rFonts w:ascii="Garamond" w:hAnsi="Garamond"/>
          <w:b w:val="0"/>
          <w:i w:val="0"/>
          <w:sz w:val="22"/>
        </w:rPr>
        <w:t>The paper should not oversell this. The contribution is: we construct an article-level corpus of EU climate law, build a hybrid retrieval system suited to the domain's linguistic properties, and provide the first systematic comparison of lexical, semantic, and hybrid retrieval on this corpus. We show [direction of result] with [magnitude] improvement, and we analyse [qualitative cases] where each method has an advantage. That is a complete, honest, and publishable contribution at the right venue.</w:t>
      </w:r>
    </w:p>
    <w:p>
      <w:pPr>
        <w:spacing w:before="280" w:after="80"/>
      </w:pPr>
      <w:r>
        <w:rPr>
          <w:rFonts w:ascii="Calibri" w:hAnsi="Calibri"/>
          <w:b/>
          <w:i w:val="0"/>
          <w:color w:val="0F172A"/>
          <w:sz w:val="23"/>
        </w:rPr>
        <w:t>Where does the generation component fit in related work?</w:t>
      </w:r>
    </w:p>
    <w:p>
      <w:pPr>
        <w:spacing w:before="0" w:after="160"/>
        <w:ind w:left="0" w:firstLine="0"/>
      </w:pPr>
      <w:r>
        <w:rPr>
          <w:rFonts w:ascii="Garamond" w:hAnsi="Garamond"/>
          <w:b w:val="0"/>
          <w:i w:val="0"/>
          <w:sz w:val="22"/>
        </w:rPr>
        <w:t>The RAG literature is vast and moves quickly. Positioning a RAG system as a primary contribution in 2025 or 2026 requires either a genuinely novel architectural choice or compelling evidence of impact in a high-stakes domain. The citation-grounded generation with the strict system prompt is a reasonable design choice but it will not surprise reviewers familiar with the legal AI space — Lexis+ AI and Harvey both use variants of citation grounding. The paper should present it as a necessary component of a responsible legal retrieval system, not as a technical contribution in itself.</w:t>
      </w:r>
    </w:p>
    <w:p>
      <w:r>
        <w:br w:type="page"/>
      </w:r>
    </w:p>
    <w:p>
      <w:pPr>
        <w:spacing w:before="400" w:after="120"/>
        <w:pBdr>
          <w:bottom w:val="single" w:sz="4" w:space="4" w:color="CBD5E1"/>
        </w:pBdr>
      </w:pPr>
      <w:r>
        <w:rPr>
          <w:rFonts w:ascii="Calibri" w:hAnsi="Calibri"/>
          <w:b/>
          <w:i w:val="0"/>
          <w:color w:val="0F172A"/>
          <w:sz w:val="24"/>
        </w:rPr>
        <w:t>8.  WHAT A REVIEWER WILL ASK</w:t>
      </w:r>
    </w:p>
    <w:p>
      <w:pPr>
        <w:spacing w:before="0" w:after="160"/>
        <w:ind w:left="0" w:firstLine="0"/>
      </w:pPr>
      <w:r>
        <w:rPr>
          <w:rFonts w:ascii="Garamond" w:hAnsi="Garamond"/>
          <w:b w:val="0"/>
          <w:i w:val="0"/>
          <w:sz w:val="22"/>
        </w:rPr>
        <w:t>Before preparing a submission, it is worth anticipating the review comments that will arrive. These are not speculative — they follow directly from the current state of the evaluation and the positioning against related work.</w:t>
      </w:r>
    </w:p>
    <w:p>
      <w:pPr>
        <w:spacing w:before="0" w:after="160"/>
        <w:ind w:left="0"/>
      </w:pPr>
      <w:r>
        <w:rPr>
          <w:rFonts w:ascii="Garamond" w:hAnsi="Garamond"/>
          <w:b/>
          <w:i w:val="0"/>
          <w:sz w:val="22"/>
        </w:rPr>
        <w:t xml:space="preserve">Why only 12 evaluation queries? </w:t>
      </w:r>
      <w:r>
        <w:rPr>
          <w:rFonts w:ascii="Garamond" w:hAnsi="Garamond"/>
          <w:b w:val="0"/>
          <w:i w:val="0"/>
          <w:sz w:val="22"/>
        </w:rPr>
        <w:t>This will appear in every review. There is no good answer to this question that does not involve expanding the gold standard. Responses like 'this is a challenging domain' or 'queries were carefully selected' will not satisfy a reviewer who knows what confidence intervals look like at n=12.</w:t>
      </w:r>
    </w:p>
    <w:p>
      <w:pPr>
        <w:spacing w:before="0" w:after="160"/>
        <w:ind w:left="0"/>
      </w:pPr>
      <w:r>
        <w:rPr>
          <w:rFonts w:ascii="Garamond" w:hAnsi="Garamond"/>
          <w:b/>
          <w:i w:val="0"/>
          <w:sz w:val="22"/>
        </w:rPr>
        <w:t xml:space="preserve">How does this compare to standard dense retrieval baselines? </w:t>
      </w:r>
      <w:r>
        <w:rPr>
          <w:rFonts w:ascii="Garamond" w:hAnsi="Garamond"/>
          <w:b w:val="0"/>
          <w:i w:val="0"/>
          <w:sz w:val="22"/>
        </w:rPr>
        <w:t>The baseline comparison infrastructure exists. Run it. Report it. A paper without explicit numbers for BM25-only and Dense-only conditions cannot claim that hybrid fusion helps.</w:t>
      </w:r>
    </w:p>
    <w:p>
      <w:pPr>
        <w:spacing w:before="0" w:after="160"/>
        <w:ind w:left="0"/>
      </w:pPr>
      <w:r>
        <w:rPr>
          <w:rFonts w:ascii="Garamond" w:hAnsi="Garamond"/>
          <w:b/>
          <w:i w:val="0"/>
          <w:sz w:val="22"/>
        </w:rPr>
        <w:t xml:space="preserve">Why Voyage-law-2 over freely available alternatives? </w:t>
      </w:r>
      <w:r>
        <w:rPr>
          <w:rFonts w:ascii="Garamond" w:hAnsi="Garamond"/>
          <w:b w:val="0"/>
          <w:i w:val="0"/>
          <w:sz w:val="22"/>
        </w:rPr>
        <w:t>'We tried it and it worked' is not sufficient. Either provide comparative results or cite a benchmark that justifies the selection. If the paper uses a commercial API for its primary dense retrieval component, reviewers will ask whether the result is reproducible by researchers without access to that API.</w:t>
      </w:r>
    </w:p>
    <w:p>
      <w:pPr>
        <w:spacing w:before="0" w:after="160"/>
        <w:ind w:left="0"/>
      </w:pPr>
      <w:r>
        <w:rPr>
          <w:rFonts w:ascii="Garamond" w:hAnsi="Garamond"/>
          <w:b/>
          <w:i w:val="0"/>
          <w:sz w:val="22"/>
        </w:rPr>
        <w:t xml:space="preserve">What is the statistical significance of your results? </w:t>
      </w:r>
      <w:r>
        <w:rPr>
          <w:rFonts w:ascii="Garamond" w:hAnsi="Garamond"/>
          <w:b w:val="0"/>
          <w:i w:val="0"/>
          <w:sz w:val="22"/>
        </w:rPr>
        <w:t>With a proper-sized evaluation set, report confidence intervals and at minimum a paired significance test (McNemar's for Hit_Rate). Point estimates without uncertainty quantification are not acceptable at competitive venues.</w:t>
      </w:r>
    </w:p>
    <w:p>
      <w:pPr>
        <w:spacing w:before="0" w:after="160"/>
        <w:ind w:left="0"/>
      </w:pPr>
      <w:r>
        <w:rPr>
          <w:rFonts w:ascii="Garamond" w:hAnsi="Garamond"/>
          <w:b/>
          <w:i w:val="0"/>
          <w:sz w:val="22"/>
        </w:rPr>
        <w:t xml:space="preserve">How do you handle documents not in the corpus? </w:t>
      </w:r>
      <w:r>
        <w:rPr>
          <w:rFonts w:ascii="Garamond" w:hAnsi="Garamond"/>
          <w:b w:val="0"/>
          <w:i w:val="0"/>
          <w:sz w:val="22"/>
        </w:rPr>
        <w:t>The current gold standard has two queries for which no relevant documents exist. Either fix this or explain it clearly in the evaluation section. Leaving it unaddressed suggests the authors did not notice, which creates a poor impression.</w:t>
      </w:r>
    </w:p>
    <w:p>
      <w:pPr>
        <w:spacing w:before="0" w:after="160"/>
        <w:ind w:left="0"/>
      </w:pPr>
      <w:r>
        <w:rPr>
          <w:rFonts w:ascii="Garamond" w:hAnsi="Garamond"/>
          <w:b/>
          <w:i w:val="0"/>
          <w:sz w:val="22"/>
        </w:rPr>
        <w:t xml:space="preserve">Is the corpus publicly available? </w:t>
      </w:r>
      <w:r>
        <w:rPr>
          <w:rFonts w:ascii="Garamond" w:hAnsi="Garamond"/>
          <w:b w:val="0"/>
          <w:i w:val="0"/>
          <w:sz w:val="22"/>
        </w:rPr>
        <w:t>If not, reproducibility is significantly compromised. EU legislative text is public domain — there is no legal barrier to releasing the corpus. A paper that builds on a non-released corpus will struggle at venues that take reproducibility seriously.</w:t>
      </w:r>
    </w:p>
    <w:p>
      <w:pPr>
        <w:spacing w:before="400" w:after="120"/>
        <w:pBdr>
          <w:bottom w:val="single" w:sz="4" w:space="4" w:color="CBD5E1"/>
        </w:pBdr>
      </w:pPr>
      <w:r>
        <w:rPr>
          <w:rFonts w:ascii="Calibri" w:hAnsi="Calibri"/>
          <w:b/>
          <w:i w:val="0"/>
          <w:color w:val="0F172A"/>
          <w:sz w:val="24"/>
        </w:rPr>
        <w:t>9.  TARGET VENUES</w:t>
      </w:r>
    </w:p>
    <w:p>
      <w:pPr>
        <w:spacing w:before="0" w:after="160"/>
        <w:ind w:left="0" w:firstLine="0"/>
      </w:pPr>
      <w:r>
        <w:rPr>
          <w:rFonts w:ascii="Garamond" w:hAnsi="Garamond"/>
          <w:b w:val="0"/>
          <w:i w:val="0"/>
          <w:sz w:val="22"/>
        </w:rPr>
        <w:t>The appropriate venue depends on how the contribution is framed. The project sits at the intersection of information retrieval, natural language processing, and legal AI. Each direction has different requirements and different audiences.</w:t>
      </w:r>
    </w:p>
    <w:tbl>
      <w:tblPr>
        <w:tblStyle w:val="TableGrid"/>
        <w:tblW w:type="auto" w:w="0"/>
        <w:tblLook w:firstColumn="1" w:firstRow="1" w:lastColumn="0" w:lastRow="0" w:noHBand="0" w:noVBand="1" w:val="04A0"/>
      </w:tblPr>
      <w:tblGrid>
        <w:gridCol w:w="2210"/>
        <w:gridCol w:w="2210"/>
        <w:gridCol w:w="2210"/>
        <w:gridCol w:w="2210"/>
      </w:tblGrid>
      <w:tr>
        <w:tc>
          <w:tcPr>
            <w:tcW w:type="dxa" w:w="2210"/>
          </w:tcPr>
          <w:p>
            <w:r>
              <w:rPr>
                <w:rFonts w:ascii="Calibri" w:hAnsi="Calibri"/>
                <w:b/>
                <w:i w:val="0"/>
                <w:sz w:val="19"/>
              </w:rPr>
              <w:t>Venue</w:t>
            </w:r>
          </w:p>
        </w:tc>
        <w:tc>
          <w:tcPr>
            <w:tcW w:type="dxa" w:w="2210"/>
          </w:tcPr>
          <w:p>
            <w:r>
              <w:rPr>
                <w:rFonts w:ascii="Calibri" w:hAnsi="Calibri"/>
                <w:b/>
                <w:i w:val="0"/>
                <w:sz w:val="19"/>
              </w:rPr>
              <w:t>Type</w:t>
            </w:r>
          </w:p>
        </w:tc>
        <w:tc>
          <w:tcPr>
            <w:tcW w:type="dxa" w:w="2210"/>
          </w:tcPr>
          <w:p>
            <w:r>
              <w:rPr>
                <w:rFonts w:ascii="Calibri" w:hAnsi="Calibri"/>
                <w:b/>
                <w:i w:val="0"/>
                <w:sz w:val="19"/>
              </w:rPr>
              <w:t>Fit</w:t>
            </w:r>
          </w:p>
        </w:tc>
        <w:tc>
          <w:tcPr>
            <w:tcW w:type="dxa" w:w="2210"/>
          </w:tcPr>
          <w:p>
            <w:r>
              <w:rPr>
                <w:rFonts w:ascii="Calibri" w:hAnsi="Calibri"/>
                <w:b/>
                <w:i w:val="0"/>
                <w:sz w:val="19"/>
              </w:rPr>
              <w:t>Minimum bar</w:t>
            </w:r>
          </w:p>
        </w:tc>
      </w:tr>
      <w:tr>
        <w:tc>
          <w:tcPr>
            <w:tcW w:type="dxa" w:w="2210"/>
          </w:tcPr>
          <w:p>
            <w:r>
              <w:rPr>
                <w:rFonts w:ascii="Garamond" w:hAnsi="Garamond"/>
                <w:b w:val="0"/>
                <w:i w:val="0"/>
                <w:sz w:val="19"/>
              </w:rPr>
              <w:t>NLLP Workshop (ACL/EMNLP)</w:t>
            </w:r>
          </w:p>
        </w:tc>
        <w:tc>
          <w:tcPr>
            <w:tcW w:type="dxa" w:w="2210"/>
          </w:tcPr>
          <w:p>
            <w:r>
              <w:rPr>
                <w:rFonts w:ascii="Garamond" w:hAnsi="Garamond"/>
                <w:b w:val="0"/>
                <w:i w:val="0"/>
                <w:sz w:val="19"/>
              </w:rPr>
              <w:t>Workshop</w:t>
            </w:r>
          </w:p>
        </w:tc>
        <w:tc>
          <w:tcPr>
            <w:tcW w:type="dxa" w:w="2210"/>
          </w:tcPr>
          <w:p>
            <w:r>
              <w:rPr>
                <w:rFonts w:ascii="Garamond" w:hAnsi="Garamond"/>
                <w:b w:val="0"/>
                <w:i w:val="0"/>
                <w:sz w:val="19"/>
              </w:rPr>
              <w:t>Excellent — natural language &amp; legal processing</w:t>
            </w:r>
          </w:p>
        </w:tc>
        <w:tc>
          <w:tcPr>
            <w:tcW w:type="dxa" w:w="2210"/>
          </w:tcPr>
          <w:p>
            <w:r>
              <w:rPr>
                <w:rFonts w:ascii="Garamond" w:hAnsi="Garamond"/>
                <w:b w:val="0"/>
                <w:i w:val="0"/>
                <w:sz w:val="19"/>
              </w:rPr>
              <w:t>30+ queries, baseline comparison</w:t>
            </w:r>
          </w:p>
        </w:tc>
      </w:tr>
      <w:tr>
        <w:tc>
          <w:tcPr>
            <w:tcW w:type="dxa" w:w="2210"/>
          </w:tcPr>
          <w:p>
            <w:r>
              <w:rPr>
                <w:rFonts w:ascii="Garamond" w:hAnsi="Garamond"/>
                <w:b w:val="0"/>
                <w:i w:val="0"/>
                <w:sz w:val="19"/>
              </w:rPr>
              <w:t>JURIX</w:t>
            </w:r>
          </w:p>
        </w:tc>
        <w:tc>
          <w:tcPr>
            <w:tcW w:type="dxa" w:w="2210"/>
          </w:tcPr>
          <w:p>
            <w:r>
              <w:rPr>
                <w:rFonts w:ascii="Garamond" w:hAnsi="Garamond"/>
                <w:b w:val="0"/>
                <w:i w:val="0"/>
                <w:sz w:val="19"/>
              </w:rPr>
              <w:t>Domain conf.</w:t>
            </w:r>
          </w:p>
        </w:tc>
        <w:tc>
          <w:tcPr>
            <w:tcW w:type="dxa" w:w="2210"/>
          </w:tcPr>
          <w:p>
            <w:r>
              <w:rPr>
                <w:rFonts w:ascii="Garamond" w:hAnsi="Garamond"/>
                <w:b w:val="0"/>
                <w:i w:val="0"/>
                <w:sz w:val="19"/>
              </w:rPr>
              <w:t>Excellent — legal knowledge systems</w:t>
            </w:r>
          </w:p>
        </w:tc>
        <w:tc>
          <w:tcPr>
            <w:tcW w:type="dxa" w:w="2210"/>
          </w:tcPr>
          <w:p>
            <w:r>
              <w:rPr>
                <w:rFonts w:ascii="Garamond" w:hAnsi="Garamond"/>
                <w:b w:val="0"/>
                <w:i w:val="0"/>
                <w:sz w:val="19"/>
              </w:rPr>
              <w:t>Solid methodology, domain relevance</w:t>
            </w:r>
          </w:p>
        </w:tc>
      </w:tr>
      <w:tr>
        <w:tc>
          <w:tcPr>
            <w:tcW w:type="dxa" w:w="2210"/>
          </w:tcPr>
          <w:p>
            <w:r>
              <w:rPr>
                <w:rFonts w:ascii="Garamond" w:hAnsi="Garamond"/>
                <w:b w:val="0"/>
                <w:i w:val="0"/>
                <w:sz w:val="19"/>
              </w:rPr>
              <w:t>ECIR</w:t>
            </w:r>
          </w:p>
        </w:tc>
        <w:tc>
          <w:tcPr>
            <w:tcW w:type="dxa" w:w="2210"/>
          </w:tcPr>
          <w:p>
            <w:r>
              <w:rPr>
                <w:rFonts w:ascii="Garamond" w:hAnsi="Garamond"/>
                <w:b w:val="0"/>
                <w:i w:val="0"/>
                <w:sz w:val="19"/>
              </w:rPr>
              <w:t>Full conf.</w:t>
            </w:r>
          </w:p>
        </w:tc>
        <w:tc>
          <w:tcPr>
            <w:tcW w:type="dxa" w:w="2210"/>
          </w:tcPr>
          <w:p>
            <w:r>
              <w:rPr>
                <w:rFonts w:ascii="Garamond" w:hAnsi="Garamond"/>
                <w:b w:val="0"/>
                <w:i w:val="0"/>
                <w:sz w:val="19"/>
              </w:rPr>
              <w:t>Strong — retrieval systems focus</w:t>
            </w:r>
          </w:p>
        </w:tc>
        <w:tc>
          <w:tcPr>
            <w:tcW w:type="dxa" w:w="2210"/>
          </w:tcPr>
          <w:p>
            <w:r>
              <w:rPr>
                <w:rFonts w:ascii="Garamond" w:hAnsi="Garamond"/>
                <w:b w:val="0"/>
                <w:i w:val="0"/>
                <w:sz w:val="19"/>
              </w:rPr>
              <w:t>50+ queries, significance tests, baselines</w:t>
            </w:r>
          </w:p>
        </w:tc>
      </w:tr>
      <w:tr>
        <w:tc>
          <w:tcPr>
            <w:tcW w:type="dxa" w:w="2210"/>
          </w:tcPr>
          <w:p>
            <w:r>
              <w:rPr>
                <w:rFonts w:ascii="Garamond" w:hAnsi="Garamond"/>
                <w:b w:val="0"/>
                <w:i w:val="0"/>
                <w:sz w:val="19"/>
              </w:rPr>
              <w:t>Artif. Intell. &amp; Law (Springer)</w:t>
            </w:r>
          </w:p>
        </w:tc>
        <w:tc>
          <w:tcPr>
            <w:tcW w:type="dxa" w:w="2210"/>
          </w:tcPr>
          <w:p>
            <w:r>
              <w:rPr>
                <w:rFonts w:ascii="Garamond" w:hAnsi="Garamond"/>
                <w:b w:val="0"/>
                <w:i w:val="0"/>
                <w:sz w:val="19"/>
              </w:rPr>
              <w:t>Journal</w:t>
            </w:r>
          </w:p>
        </w:tc>
        <w:tc>
          <w:tcPr>
            <w:tcW w:type="dxa" w:w="2210"/>
          </w:tcPr>
          <w:p>
            <w:r>
              <w:rPr>
                <w:rFonts w:ascii="Garamond" w:hAnsi="Garamond"/>
                <w:b w:val="0"/>
                <w:i w:val="0"/>
                <w:sz w:val="19"/>
              </w:rPr>
              <w:t>Strong — legal AI, longer format</w:t>
            </w:r>
          </w:p>
        </w:tc>
        <w:tc>
          <w:tcPr>
            <w:tcW w:type="dxa" w:w="2210"/>
          </w:tcPr>
          <w:p>
            <w:r>
              <w:rPr>
                <w:rFonts w:ascii="Garamond" w:hAnsi="Garamond"/>
                <w:b w:val="0"/>
                <w:i w:val="0"/>
                <w:sz w:val="19"/>
              </w:rPr>
              <w:t>Thorough eval, related work, reproducibility</w:t>
            </w:r>
          </w:p>
        </w:tc>
      </w:tr>
      <w:tr>
        <w:tc>
          <w:tcPr>
            <w:tcW w:type="dxa" w:w="2210"/>
          </w:tcPr>
          <w:p>
            <w:r>
              <w:rPr>
                <w:rFonts w:ascii="Garamond" w:hAnsi="Garamond"/>
                <w:b w:val="0"/>
                <w:i w:val="0"/>
                <w:sz w:val="19"/>
              </w:rPr>
              <w:t>SIGIR</w:t>
            </w:r>
          </w:p>
        </w:tc>
        <w:tc>
          <w:tcPr>
            <w:tcW w:type="dxa" w:w="2210"/>
          </w:tcPr>
          <w:p>
            <w:r>
              <w:rPr>
                <w:rFonts w:ascii="Garamond" w:hAnsi="Garamond"/>
                <w:b w:val="0"/>
                <w:i w:val="0"/>
                <w:sz w:val="19"/>
              </w:rPr>
              <w:t>Top conf.</w:t>
            </w:r>
          </w:p>
        </w:tc>
        <w:tc>
          <w:tcPr>
            <w:tcW w:type="dxa" w:w="2210"/>
          </w:tcPr>
          <w:p>
            <w:r>
              <w:rPr>
                <w:rFonts w:ascii="Garamond" w:hAnsi="Garamond"/>
                <w:b w:val="0"/>
                <w:i w:val="0"/>
                <w:sz w:val="19"/>
              </w:rPr>
              <w:t>Possible — high bar</w:t>
            </w:r>
          </w:p>
        </w:tc>
        <w:tc>
          <w:tcPr>
            <w:tcW w:type="dxa" w:w="2210"/>
          </w:tcPr>
          <w:p>
            <w:r>
              <w:rPr>
                <w:rFonts w:ascii="Garamond" w:hAnsi="Garamond"/>
                <w:b w:val="0"/>
                <w:i w:val="0"/>
                <w:sz w:val="19"/>
              </w:rPr>
              <w:t>100+ queries, rigorous ablations, novelty</w:t>
            </w:r>
          </w:p>
        </w:tc>
      </w:tr>
      <w:tr>
        <w:tc>
          <w:tcPr>
            <w:tcW w:type="dxa" w:w="2210"/>
          </w:tcPr>
          <w:p>
            <w:r>
              <w:rPr>
                <w:rFonts w:ascii="Garamond" w:hAnsi="Garamond"/>
                <w:b w:val="0"/>
                <w:i w:val="0"/>
                <w:sz w:val="19"/>
              </w:rPr>
              <w:t>ACL / EMNLP main</w:t>
            </w:r>
          </w:p>
        </w:tc>
        <w:tc>
          <w:tcPr>
            <w:tcW w:type="dxa" w:w="2210"/>
          </w:tcPr>
          <w:p>
            <w:r>
              <w:rPr>
                <w:rFonts w:ascii="Garamond" w:hAnsi="Garamond"/>
                <w:b w:val="0"/>
                <w:i w:val="0"/>
                <w:sz w:val="19"/>
              </w:rPr>
              <w:t>Top conf.</w:t>
            </w:r>
          </w:p>
        </w:tc>
        <w:tc>
          <w:tcPr>
            <w:tcW w:type="dxa" w:w="2210"/>
          </w:tcPr>
          <w:p>
            <w:r>
              <w:rPr>
                <w:rFonts w:ascii="Garamond" w:hAnsi="Garamond"/>
                <w:b w:val="0"/>
                <w:i w:val="0"/>
                <w:sz w:val="19"/>
              </w:rPr>
              <w:t>Possible but stretch</w:t>
            </w:r>
          </w:p>
        </w:tc>
        <w:tc>
          <w:tcPr>
            <w:tcW w:type="dxa" w:w="2210"/>
          </w:tcPr>
          <w:p>
            <w:r>
              <w:rPr>
                <w:rFonts w:ascii="Garamond" w:hAnsi="Garamond"/>
                <w:b w:val="0"/>
                <w:i w:val="0"/>
                <w:sz w:val="19"/>
              </w:rPr>
              <w:t>Strong NLP angle needed beyond retrieval</w:t>
            </w:r>
          </w:p>
        </w:tc>
      </w:tr>
    </w:tbl>
    <w:p/>
    <w:p>
      <w:pPr>
        <w:spacing w:before="0" w:after="160"/>
        <w:ind w:left="0" w:firstLine="0"/>
      </w:pPr>
      <w:r>
        <w:rPr>
          <w:rFonts w:ascii="Garamond" w:hAnsi="Garamond"/>
          <w:b w:val="0"/>
          <w:i w:val="0"/>
          <w:sz w:val="22"/>
        </w:rPr>
        <w:t>The most direct path to publication with the current scope is the NLLP Workshop at ACL or EMNLP, or JURIX. Both are rigorous but domain-oriented, and both would value the corpus contribution alongside the retrieval comparison. ECIR is the right long-term target for a full retrieval-focused paper once the evaluation is complete. The Artificial Intelligence and Law journal is appropriate for a longer, more comprehensive write-up that includes the generation evaluation.</w:t>
      </w:r>
    </w:p>
    <w:p>
      <w:r>
        <w:br w:type="page"/>
      </w:r>
    </w:p>
    <w:p>
      <w:pPr>
        <w:spacing w:before="400" w:after="120"/>
        <w:pBdr>
          <w:bottom w:val="single" w:sz="4" w:space="4" w:color="CBD5E1"/>
        </w:pBdr>
      </w:pPr>
      <w:r>
        <w:rPr>
          <w:rFonts w:ascii="Calibri" w:hAnsi="Calibri"/>
          <w:b/>
          <w:i w:val="0"/>
          <w:color w:val="0F172A"/>
          <w:sz w:val="24"/>
        </w:rPr>
        <w:t>10.  THE PUBLICATION ROADMAP</w:t>
      </w:r>
    </w:p>
    <w:p>
      <w:pPr>
        <w:spacing w:before="0" w:after="160"/>
        <w:ind w:left="0" w:firstLine="0"/>
      </w:pPr>
      <w:r>
        <w:rPr>
          <w:rFonts w:ascii="Garamond" w:hAnsi="Garamond"/>
          <w:b w:val="0"/>
          <w:i w:val="0"/>
          <w:sz w:val="22"/>
        </w:rPr>
        <w:t>The following is a concrete, sequenced plan of what needs to happen before this project can be submitted as a research paper. The steps are ordered by dependency — each one unlocks the next.</w:t>
      </w:r>
    </w:p>
    <w:p>
      <w:pPr>
        <w:spacing w:before="280" w:after="80"/>
      </w:pPr>
      <w:r>
        <w:rPr>
          <w:rFonts w:ascii="Calibri" w:hAnsi="Calibri"/>
          <w:b/>
          <w:i w:val="0"/>
          <w:color w:val="0F172A"/>
          <w:sz w:val="23"/>
        </w:rPr>
        <w:t>Step 1: Fix the evaluation data (weeks 1–3)</w:t>
      </w:r>
    </w:p>
    <w:p>
      <w:pPr>
        <w:spacing w:before="0" w:after="160"/>
        <w:ind w:left="0" w:firstLine="0"/>
      </w:pPr>
      <w:r>
        <w:rPr>
          <w:rFonts w:ascii="Garamond" w:hAnsi="Garamond"/>
          <w:b w:val="0"/>
          <w:i w:val="0"/>
          <w:sz w:val="22"/>
        </w:rPr>
        <w:t>Expand the gold standard from 12 to at least 50 queries. The queries should span the full range of the corpus: compliance obligations, definitional questions, procedural requirements, scope and exemptions, reporting deadlines, enforcement provisions. Avoid clustering queries around a single instrument. Remove or replace the two queries for instruments not in the corpus (SFDR and CO2 car standards), or add those documents to the corpus. Have at least one second reviewer confirm the relevance judgements for a random 20-query sample. This is the critical step — nothing else can be finalised until the evaluation data is adequate.</w:t>
      </w:r>
    </w:p>
    <w:p>
      <w:pPr>
        <w:spacing w:before="280" w:after="80"/>
      </w:pPr>
      <w:r>
        <w:rPr>
          <w:rFonts w:ascii="Calibri" w:hAnsi="Calibri"/>
          <w:b/>
          <w:i w:val="0"/>
          <w:color w:val="0F172A"/>
          <w:sz w:val="23"/>
        </w:rPr>
        <w:t>Step 2: Run the experiments (week 3–4)</w:t>
      </w:r>
    </w:p>
    <w:p>
      <w:pPr>
        <w:spacing w:before="0" w:after="160"/>
        <w:ind w:left="0" w:firstLine="0"/>
      </w:pPr>
      <w:r>
        <w:rPr>
          <w:rFonts w:ascii="Garamond" w:hAnsi="Garamond"/>
          <w:b w:val="0"/>
          <w:i w:val="0"/>
          <w:sz w:val="22"/>
        </w:rPr>
        <w:t>With the expanded gold standard in place, run the full baseline comparison: BM25-only, Dense-only (Voyage-law-2), and Hybrid RRF. Also run at minimum one free embedding model (BGE-M3 is the recommended choice — it is strong, multilingual, and freely available) for comparison. Compute Hit_Rate@5, MRR@5, and Recall@10 for each condition. Report confidence intervals. Run a paired significance test between hybrid and the best single-retriever baseline.</w:t>
      </w:r>
    </w:p>
    <w:p>
      <w:pPr>
        <w:spacing w:before="280" w:after="80"/>
      </w:pPr>
      <w:r>
        <w:rPr>
          <w:rFonts w:ascii="Calibri" w:hAnsi="Calibri"/>
          <w:b/>
          <w:i w:val="0"/>
          <w:color w:val="0F172A"/>
          <w:sz w:val="23"/>
        </w:rPr>
        <w:t>Step 3: Analyse qualitative cases (week 4)</w:t>
      </w:r>
    </w:p>
    <w:p>
      <w:pPr>
        <w:spacing w:before="0" w:after="160"/>
        <w:ind w:left="0" w:firstLine="0"/>
      </w:pPr>
      <w:r>
        <w:rPr>
          <w:rFonts w:ascii="Garamond" w:hAnsi="Garamond"/>
          <w:b w:val="0"/>
          <w:i w:val="0"/>
          <w:sz w:val="22"/>
        </w:rPr>
        <w:t>For the paper to be interesting beyond the numbers, it needs qualitative analysis. Find examples where the hybrid system succeeds and single-retriever approaches fail, and vice versa. This is usually where the paper becomes worth reading. If BM25 alone finds an article about 'emission allowance auctioning' that dense retrieval ranks poorly because it embeds it near unrelated text, explain why and show the example. If dense retrieval finds a relevant CBAM article that uses different terminology than the query and BM25 misses it, show that too. These cases build the intuition for the reader and justify the hybrid design in a way that aggregate numbers alone cannot.</w:t>
      </w:r>
    </w:p>
    <w:p>
      <w:pPr>
        <w:spacing w:before="280" w:after="80"/>
      </w:pPr>
      <w:r>
        <w:rPr>
          <w:rFonts w:ascii="Calibri" w:hAnsi="Calibri"/>
          <w:b/>
          <w:i w:val="0"/>
          <w:color w:val="0F172A"/>
          <w:sz w:val="23"/>
        </w:rPr>
        <w:t>Step 4: Generation evaluation (week 4–5, optional)</w:t>
      </w:r>
    </w:p>
    <w:p>
      <w:pPr>
        <w:spacing w:before="0" w:after="160"/>
        <w:ind w:left="0" w:firstLine="0"/>
      </w:pPr>
      <w:r>
        <w:rPr>
          <w:rFonts w:ascii="Garamond" w:hAnsi="Garamond"/>
          <w:b w:val="0"/>
          <w:i w:val="0"/>
          <w:sz w:val="22"/>
        </w:rPr>
        <w:t>If the paper will make claims about answer quality, annotate 20–30 generated answers. Use a three-point scale: the answer is legally correct and the citations are accurate; the answer is partially correct or has citation errors; the answer is incorrect or misleading. Report inter-annotator agreement. This is optional for a venue focused on retrieval, but required for any venue where the paper presents the full system as the contribution.</w:t>
      </w:r>
    </w:p>
    <w:p>
      <w:pPr>
        <w:spacing w:before="280" w:after="80"/>
      </w:pPr>
      <w:r>
        <w:rPr>
          <w:rFonts w:ascii="Calibri" w:hAnsi="Calibri"/>
          <w:b/>
          <w:i w:val="0"/>
          <w:color w:val="0F172A"/>
          <w:sz w:val="23"/>
        </w:rPr>
        <w:t>Step 5: Related work and write-up (weeks 5–6)</w:t>
      </w:r>
    </w:p>
    <w:p>
      <w:pPr>
        <w:spacing w:before="0" w:after="160"/>
        <w:ind w:left="0" w:firstLine="0"/>
      </w:pPr>
      <w:r>
        <w:rPr>
          <w:rFonts w:ascii="Garamond" w:hAnsi="Garamond"/>
          <w:b w:val="0"/>
          <w:i w:val="0"/>
          <w:sz w:val="22"/>
        </w:rPr>
        <w:t>The paper needs a proper related work section that engages with legal IR, domain-specific RAG, and hybrid retrieval literature. The key references are the COLIEE papers for legal retrieval benchmarking, Cormack et al. (2009) for RRF, Karpukhin et al. (2020) for DPR as the foundational dense retrieval paper, and Chalkidis et al. (2020) for legal language model adaptation. The paper should position clearly: this is not a new architecture, it is an empirical study of how established retrieval methods perform on a specific, underexplored legal domain, with a contributed corpus and evaluation benchmark.</w:t>
      </w:r>
    </w:p>
    <w:p>
      <w:pPr>
        <w:spacing w:before="280" w:after="80"/>
      </w:pPr>
      <w:r>
        <w:rPr>
          <w:rFonts w:ascii="Calibri" w:hAnsi="Calibri"/>
          <w:b/>
          <w:i w:val="0"/>
          <w:color w:val="0F172A"/>
          <w:sz w:val="23"/>
        </w:rPr>
        <w:t>Step 6: Release the corpus</w:t>
      </w:r>
    </w:p>
    <w:p>
      <w:pPr>
        <w:spacing w:before="0" w:after="160"/>
        <w:ind w:left="0" w:firstLine="0"/>
      </w:pPr>
      <w:r>
        <w:rPr>
          <w:rFonts w:ascii="Garamond" w:hAnsi="Garamond"/>
          <w:b w:val="0"/>
          <w:i w:val="0"/>
          <w:sz w:val="22"/>
        </w:rPr>
        <w:t>Before submission, commit to making the corpus and gold standard publicly available upon acceptance. For EU publications, the source text is public domain, so there is no legal obstacle. This increases the paper's impact, improves reproducibility, and is increasingly expected at competitive venues. Include a data statement in the paper describing collection methodology, coverage, and known limitations.</w:t>
      </w:r>
    </w:p>
    <w:p>
      <w:pPr>
        <w:spacing w:before="400" w:after="120"/>
        <w:pBdr>
          <w:bottom w:val="single" w:sz="4" w:space="4" w:color="CBD5E1"/>
        </w:pBdr>
      </w:pPr>
      <w:r>
        <w:rPr>
          <w:rFonts w:ascii="Calibri" w:hAnsi="Calibri"/>
          <w:b/>
          <w:i w:val="0"/>
          <w:color w:val="0F172A"/>
          <w:sz w:val="24"/>
        </w:rPr>
        <w:t>11.  WHAT IS ALREADY STRONG</w:t>
      </w:r>
    </w:p>
    <w:p>
      <w:pPr>
        <w:spacing w:before="0" w:after="160"/>
        <w:ind w:left="0" w:firstLine="0"/>
      </w:pPr>
      <w:r>
        <w:rPr>
          <w:rFonts w:ascii="Garamond" w:hAnsi="Garamond"/>
          <w:b w:val="0"/>
          <w:i w:val="0"/>
          <w:sz w:val="22"/>
        </w:rPr>
        <w:t>It would be misleading to leave the impression that this project needs to be rebuilt. It does not. The weaknesses described in this document are concentrated in the evaluation data and the lack of experimental results — not in the system design, the codebase quality, or the research question. The following is what the project already has right.</w:t>
      </w:r>
    </w:p>
    <w:p>
      <w:pPr>
        <w:spacing w:before="0" w:after="160"/>
        <w:ind w:left="0" w:firstLine="0"/>
      </w:pPr>
      <w:r>
        <w:rPr>
          <w:rFonts w:ascii="Garamond" w:hAnsi="Garamond"/>
          <w:b w:val="0"/>
          <w:i w:val="0"/>
          <w:sz w:val="22"/>
        </w:rPr>
        <w:t>The research question is valid and worth asking. The prior literature does not provide a definitive answer to whether hybrid retrieval helps on EU legislative text, and the answer would be useful to the legal NLP community. A project can survive weak engineering if the research question is sharp; a project with clean engineering but a weak question is much harder to publish. The question here is sharp.</w:t>
      </w:r>
    </w:p>
    <w:p>
      <w:pPr>
        <w:spacing w:before="0" w:after="160"/>
        <w:ind w:left="0" w:firstLine="0"/>
      </w:pPr>
      <w:r>
        <w:rPr>
          <w:rFonts w:ascii="Garamond" w:hAnsi="Garamond"/>
          <w:b w:val="0"/>
          <w:i w:val="0"/>
          <w:sz w:val="22"/>
        </w:rPr>
        <w:t>The corpus construction methodology is documented and reproducible. The ETL pipeline from CELLAR to structured JSONL, with Formex XML parsing and article-level extraction, is non-trivial work that required careful engineering. Another researcher can follow the notebook and reproduce the corpus. This reproducibility is an asset.</w:t>
      </w:r>
    </w:p>
    <w:p>
      <w:pPr>
        <w:spacing w:before="0" w:after="160"/>
        <w:ind w:left="0" w:firstLine="0"/>
      </w:pPr>
      <w:r>
        <w:rPr>
          <w:rFonts w:ascii="Garamond" w:hAnsi="Garamond"/>
          <w:b w:val="0"/>
          <w:i w:val="0"/>
          <w:sz w:val="22"/>
        </w:rPr>
        <w:t>The architecture is clean and modular. The retrieval components are interchangeable through a well-defined interface. The evaluation layer is independent of the generation layer, which means IR metrics can be computed without API calls. The configuration is centralised. The test suite covers the core logic. These properties mean that modifications — adding a new retriever, changing the fusion method, expanding the corpus — are straightforward. They also mean a reviewer who looks at the code will not find tangled dependencies or hardcoded values.</w:t>
      </w:r>
    </w:p>
    <w:p>
      <w:pPr>
        <w:spacing w:before="0" w:after="160"/>
        <w:ind w:left="0" w:firstLine="0"/>
      </w:pPr>
      <w:r>
        <w:rPr>
          <w:rFonts w:ascii="Garamond" w:hAnsi="Garamond"/>
          <w:b w:val="0"/>
          <w:i w:val="0"/>
          <w:sz w:val="22"/>
        </w:rPr>
        <w:t>The strict citation-grounding design in the generator is a genuine contribution to responsible deployment. The system is built with the assumption that legal hallucination is dangerous, and every design decision in the generation component reflects that. This is the right starting point for any legal AI system, and the paper can make that argument clearly without needing empirical evidence beyond the system design itself.</w:t>
      </w:r>
    </w:p>
    <w:p>
      <w:r>
        <w:br w:type="page"/>
      </w:r>
    </w:p>
    <w:p>
      <w:pPr>
        <w:spacing w:before="400" w:after="120"/>
        <w:pBdr>
          <w:bottom w:val="single" w:sz="4" w:space="4" w:color="CBD5E1"/>
        </w:pBdr>
      </w:pPr>
      <w:r>
        <w:rPr>
          <w:rFonts w:ascii="Calibri" w:hAnsi="Calibri"/>
          <w:b/>
          <w:i w:val="0"/>
          <w:color w:val="0F172A"/>
          <w:sz w:val="24"/>
        </w:rPr>
        <w:t>12.  CLOSING ASSESSMENT</w:t>
      </w:r>
    </w:p>
    <w:p>
      <w:pPr>
        <w:spacing w:before="0" w:after="160"/>
        <w:ind w:left="0" w:firstLine="0"/>
      </w:pPr>
      <w:r>
        <w:rPr>
          <w:rFonts w:ascii="Garamond" w:hAnsi="Garamond"/>
          <w:b w:val="0"/>
          <w:i w:val="0"/>
          <w:sz w:val="22"/>
        </w:rPr>
        <w:t>The project is closer to publication than the list of gaps might suggest. The engineering foundation is solid, the research question is worth answering, and the experimental infrastructure to produce publication-quality evidence already exists. What is missing is the evidence itself — specifically, a larger evaluation set, the experimental results comparing three retrieval conditions, and confidence quantification around those results.</w:t>
      </w:r>
    </w:p>
    <w:p>
      <w:pPr>
        <w:spacing w:before="0" w:after="160"/>
        <w:ind w:left="0" w:firstLine="0"/>
      </w:pPr>
      <w:r>
        <w:rPr>
          <w:rFonts w:ascii="Garamond" w:hAnsi="Garamond"/>
          <w:b w:val="0"/>
          <w:i w:val="0"/>
          <w:sz w:val="22"/>
        </w:rPr>
        <w:t>If the expanded gold standard and baseline comparison are completed over the next few weeks, and the results show the expected pattern — hybrid outperforming single-retriever baselines, with the margin larger for semantically paraphrased queries than for exact-term queries — this is a complete, honest, and publishable contribution. The NLLP Workshop is achievable within a normal academic timeline if submission is prepared with urgency. ECIR is the right full-conference target for a polished version.</w:t>
      </w:r>
    </w:p>
    <w:p>
      <w:pPr>
        <w:spacing w:before="0" w:after="160"/>
        <w:ind w:left="0" w:firstLine="0"/>
      </w:pPr>
      <w:r>
        <w:rPr>
          <w:rFonts w:ascii="Garamond" w:hAnsi="Garamond"/>
          <w:b w:val="0"/>
          <w:i w:val="0"/>
          <w:sz w:val="22"/>
        </w:rPr>
        <w:t>The most important thing to resist is the temptation to submit prematurely with the current evaluation. A desk rejection or a review saying 'interesting idea but only 12 evaluation queries' is not a setback anyone wants, and it is entirely avoidable. The three weeks spent expanding the gold standard and running the experiments will pay back many times over in the quality of the submission and the probability of acceptance.</w:t>
      </w:r>
    </w:p>
    <w:p>
      <w:pPr>
        <w:spacing w:before="200" w:after="200"/>
        <w:ind w:left="680" w:right="680"/>
      </w:pPr>
      <w:r>
        <w:rPr>
          <w:rFonts w:ascii="Garamond" w:hAnsi="Garamond"/>
          <w:b w:val="0"/>
          <w:i/>
          <w:color w:val="334155"/>
          <w:sz w:val="22"/>
        </w:rPr>
        <w:t>The path to publication is clear and short. The work that remains is mostly empirical, not architectural. Run the experiments, report the numbers honestly, and write the paper around what the data actually shows.</w:t>
      </w:r>
    </w:p>
    <w:p/>
    <w:p>
      <w:r>
        <w:rPr>
          <w:rFonts w:ascii="Calibri" w:hAnsi="Calibri"/>
          <w:color w:val="CBD5E1"/>
          <w:sz w:val="16"/>
        </w:rPr>
        <w:t>──────────────────────────────────────────────────────────────────────────────────────────</w:t>
      </w:r>
    </w:p>
    <w:p>
      <w:r>
        <w:rPr>
          <w:rFonts w:ascii="Calibri" w:hAnsi="Calibri"/>
          <w:b w:val="0"/>
          <w:i w:val="0"/>
          <w:color w:val="64748B"/>
          <w:sz w:val="18"/>
        </w:rPr>
        <w:t>Prepared June 2026  ·  EU Climate Law Legal RAG Project</w:t>
      </w:r>
    </w:p>
    <w:sectPr w:rsidR="00FC693F" w:rsidRPr="0006063C" w:rsidSect="00034616">
      <w:pgSz w:w="12240" w:h="15840"/>
      <w:pgMar w:top="1587" w:right="1587" w:bottom="1587" w:left="181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