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46.png" ContentType="image/png"/>
  <Override PartName="/word/media/rId21.svgz" ContentType="image/svg+xml"/>
  <Override PartName="/word/media/rId152.png" ContentType="image/png"/>
  <Override PartName="/word/media/rId156.png" ContentType="image/png"/>
  <Override PartName="/word/media/rId162.png" ContentType="image/png"/>
  <Override PartName="/word/media/rId166.png" ContentType="image/png"/>
  <Override PartName="/word/media/rId170.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For instance, a researcher studying the role of authoritarian personality in explaining prejudice must first clearly define these variables, and then, develop a measurement strategy to operationalize the variables. This is challenging in applied psychology,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as argued by</w:t>
      </w:r>
      <w:r>
        <w:t xml:space="preserve"> </w:t>
      </w:r>
      <w:r>
        <w:t xml:space="preserve">Cronbach and Meehl (1955)</w:t>
      </w:r>
      <w:r>
        <w:t xml:space="preserve">, can be scrutinized by linking test scores to other related constructs and observations.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Over time, validity theory has evolved and has been expanded.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exceptionally popular</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limits its usefulness</w:t>
      </w:r>
      <w:r>
        <w:t xml:space="preserve"> </w:t>
      </w:r>
      <w:r>
        <w:t xml:space="preserve">(Sijtsma, 2008)</w:t>
      </w:r>
      <w:r>
        <w:t xml:space="preserve">.</w:t>
      </w:r>
    </w:p>
    <w:p>
      <w:pPr>
        <w:pStyle w:val="BodyText"/>
      </w:pPr>
      <w:r>
        <w:t xml:space="preserve">With this in mind, this oversight in measurement quality can raise reasonable concerns about the replicability of research findings because measurement contributes to the (in)validity of the findings</w:t>
      </w:r>
      <w:r>
        <w:t xml:space="preserve"> </w:t>
      </w:r>
      <w:r>
        <w:t xml:space="preserve">(Flake &amp; Fried, 2020; Lilienfeld &amp; Strother, 2020)</w:t>
      </w:r>
      <w:r>
        <w:t xml:space="preserve">. Measurement oversight can be identified in decisions that researchers make, which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 the lack of evidence for measurement validity contributes to the difficulty in reaching a consensus about the best way to measure a construct. In the long run, it becomes a major obstacle to establishing cumulative psychological science</w:t>
      </w:r>
      <w:r>
        <w:t xml:space="preserve"> </w:t>
      </w:r>
      <w:r>
        <w:t xml:space="preserve">(Elson et al., 2023)</w:t>
      </w:r>
      <w:r>
        <w:t xml:space="preserve">. Given these circumstances, it is critical to provide applied psychological researchers with a set of tools and practical steps to assist them in evaluating measurement validity so that they can improve their measurement practices, and thus, the credibility of their findings.</w:t>
      </w:r>
    </w:p>
    <w:p>
      <w:pPr>
        <w:pStyle w:val="BodyText"/>
      </w:pPr>
      <w:r>
        <w:t xml:space="preserve">In this article, we aim to gently introduce the graded response model (GRM), which is a family of item response models, specifically aimed to assess the measurement precision of a polytomous (Likert-style) scale. We start this paper by briefly explaining the basics of Item Response Theory (IRT), the theoretical foundation of GRM, as well as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Subsequently, we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with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actual ability or trait level, and error terms (i.e., residuals or unique variances). Consequently, the relationship between observed score and true score is</w:t>
      </w:r>
      <w:r>
        <w:t xml:space="preserve"> </w:t>
      </w:r>
      <w:r>
        <w:rPr>
          <w:iCs/>
          <w:i/>
        </w:rPr>
        <w:t xml:space="preserve">linear</w:t>
      </w:r>
      <w:r>
        <w:t xml:space="preserve">, as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if necessary,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restricts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presumed to be equal across different levels of a trait or ability. This is unrealistic since researchers frequently encounter situations where a test is excessively difficult for a group of low-performing participants, providing little information beyond indicating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analysis can help identify the levels of trait or ability where the test is most reliable. A concrete example of this is a study scrutinizing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those with low levels of sadism</w:t>
      </w:r>
      <w:r>
        <w:t xml:space="preserve"> </w:t>
      </w:r>
      <w:r>
        <w:t xml:space="preserve">(Blötner &amp; Beisemann, 2022)</w:t>
      </w:r>
      <w:r>
        <w:t xml:space="preserve">. Therefore, IRT models offer a more informative and nuanced perspective, proving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One-parameter logistic (1PL) or Rasch model, the simplest variant of the IRT models, accounts only item difficulty (</w:t>
      </w:r>
      <w:r>
        <w:rPr>
          <w:iCs/>
          <w:i/>
        </w:rPr>
        <w:t xml:space="preserve">b</w:t>
      </w:r>
      <w:r>
        <w:t xml:space="preserve">) while presuming equal item discrimination (</w:t>
      </w:r>
      <w:r>
        <w:rPr>
          <w:iCs/>
          <w:i/>
        </w:rPr>
        <w:t xml:space="preserve">a</w:t>
      </w:r>
      <w:r>
        <w:t xml:space="preserve">) across items. Practically, this model slightly overlaps with CTT in the sense that they assume that all items carry equal informative value thus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measurements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be always the same regardless of the scale used to measure their depression levels. While this principle reasonably enforces objectivity in measurement practices, it demands a strong theory delineating the construct and strict requirements of data-model fit while both assumptions rarely hold in a real-world scenario, especially in psychological science.</w:t>
      </w:r>
    </w:p>
    <w:p>
      <w:pPr>
        <w:pStyle w:val="BodyText"/>
      </w:pPr>
      <w:r>
        <w:t xml:space="preserve">Furthermore, the two-parameter logistic (2PL) model fills this gap by allowing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to differ. Additionally, in some contexts, researchers may suspect that a part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developed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 and the focus of this article is nonetheless to show the utility of IRT for fitting the ordered (Likert-style) responses. We briefly summarize the features of the most frequently employed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in order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of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 IRT model (multidimensional IRT, see</w:t>
      </w:r>
      <w:r>
        <w:t xml:space="preserve"> </w:t>
      </w:r>
      <w:r>
        <w:t xml:space="preserve">Bock et al. (1988)</w:t>
      </w:r>
      <w:r>
        <w:t xml:space="preserve">, we limit the scope of our tutorial to the unidimensional GRM. An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are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trust in science scale containing these two items:</w:t>
      </w:r>
      <w:r>
        <w:t xml:space="preserve"> </w:t>
      </w:r>
      <w:r>
        <w:t xml:space="preserve">“</w:t>
      </w:r>
      <w:r>
        <w:rPr>
          <w:iCs/>
          <w:i/>
        </w:rPr>
        <w:t xml:space="preserve">I trust scientists working in the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the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as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this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represents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36"/>
    <w:bookmarkStart w:id="37"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w:t>
      </w:r>
      <w:r>
        <w:t xml:space="preserve"> </w:t>
      </w:r>
      <w:r>
        <w:t xml:space="preserve">by typing a simple command:</w:t>
      </w:r>
    </w:p>
    <w:p>
      <w:pPr>
        <w:pStyle w:val="SourceCode"/>
      </w:pP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 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view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 it is very likely that</w:t>
      </w:r>
      <w:r>
        <w:t xml:space="preserve"> </w:t>
      </w:r>
      <w:r>
        <w:rPr>
          <w:rStyle w:val="VerbatimChar"/>
        </w:rPr>
        <w:t xml:space="preserve">0</w:t>
      </w:r>
      <w:r>
        <w:t xml:space="preserve"> </w:t>
      </w:r>
      <w:r>
        <w:t xml:space="preserve">is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Table 2 again, mean score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mean score across items do not drastically vary and have</w:t>
      </w:r>
      <w:r>
        <w:t xml:space="preserve"> </w:t>
      </w:r>
      <w:r>
        <w:rPr>
          <w:rStyle w:val="VerbatimChar"/>
        </w:rPr>
        <w:t xml:space="preserve">1</w:t>
      </w:r>
      <w:r>
        <w:t xml:space="preserve"> </w:t>
      </w:r>
      <w:r>
        <w:t xml:space="preserve">as its minimum value.</w:t>
      </w:r>
    </w:p>
    <w:bookmarkEnd w:id="37"/>
    <w:bookmarkStart w:id="38" w:name="step-3-examining-dimensionality"/>
    <w:p>
      <w:pPr>
        <w:pStyle w:val="Heading2"/>
      </w:pPr>
      <w:r>
        <w:t xml:space="preserve">Step 3: Examining Dimensionality</w:t>
      </w:r>
    </w:p>
    <w:p>
      <w:pPr>
        <w:pStyle w:val="FirstParagraph"/>
      </w:pPr>
      <w:r>
        <w:t xml:space="preserve">Next, we show the readers the ways of testing unidimensionality. To test the number of latent factors of an item pool,</w:t>
      </w:r>
      <w:r>
        <w:t xml:space="preserve"> </w:t>
      </w:r>
      <w:r>
        <w:t xml:space="preserve">De Ayala and Hertzog (1991)</w:t>
      </w:r>
      <w:r>
        <w:t xml:space="preserve"> </w:t>
      </w:r>
      <w:r>
        <w:t xml:space="preserve">suggests three alternatives, which are multidimensional scaling (MDS), EFA, and CFA. In this tutorial, we demonstrate the use of EFA, and</w:t>
      </w:r>
      <w:r>
        <w:t xml:space="preserve"> </w:t>
      </w:r>
      <w:r>
        <w:rPr>
          <w:iCs/>
          <w:i/>
        </w:rPr>
        <w:t xml:space="preserve">psych</w:t>
      </w:r>
      <w:r>
        <w:t xml:space="preserve"> </w:t>
      </w:r>
      <w:r>
        <w:t xml:space="preserve">package provides a very efficient way to do this is by calling this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Alternatively, readers can also run a parallel analysis with a polychoric correlation matrix by calling this following command:</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A parallel analysis compares the eigenvalues from the data with those yielded from a randomly generated dataset with the same sample size in order to determine the number of factors one should retain in EFA</w:t>
      </w:r>
      <w:r>
        <w:t xml:space="preserve"> </w:t>
      </w:r>
      <w:r>
        <w:t xml:space="preserve">(Guo &amp; Choi, 2023)</w:t>
      </w:r>
      <w:r>
        <w:t xml:space="preserve">. The codes indicate that we tell R to run a parallel analysis on the data frame</w:t>
      </w:r>
      <w:r>
        <w:t xml:space="preserve"> </w:t>
      </w:r>
      <w:r>
        <w:rPr>
          <w:rStyle w:val="VerbatimChar"/>
        </w:rPr>
        <w:t xml:space="preserve">rwa</w:t>
      </w:r>
      <w:r>
        <w:t xml:space="preserve">, with one factor. The option</w:t>
      </w:r>
      <w:r>
        <w:t xml:space="preserve"> </w:t>
      </w:r>
      <w:r>
        <w:rPr>
          <w:rStyle w:val="VerbatimChar"/>
        </w:rPr>
        <w:t xml:space="preserve">fa="fa"</w:t>
      </w:r>
      <w:r>
        <w:t xml:space="preserve"> </w:t>
      </w:r>
      <w:r>
        <w:t xml:space="preserve">implies that we want to show the eigenvalues for a EFA, while</w:t>
      </w:r>
      <w:r>
        <w:t xml:space="preserve"> </w:t>
      </w:r>
      <w:r>
        <w:rPr>
          <w:rStyle w:val="VerbatimChar"/>
        </w:rPr>
        <w:t xml:space="preserve">cor = "poly"</w:t>
      </w:r>
      <w:r>
        <w:t xml:space="preserve"> </w:t>
      </w:r>
      <w:r>
        <w:t xml:space="preserve">means that we use a polychoric correlation matrix as an input.</w:t>
      </w:r>
    </w:p>
    <w:p>
      <w:pPr>
        <w:pStyle w:val="BodyText"/>
      </w:pPr>
      <w:r>
        <w:t xml:space="preserve">The call to both commands above produces this following error:</w:t>
      </w:r>
      <w:r>
        <w:t xml:space="preserve"> </w:t>
      </w:r>
      <w:r>
        <w:rPr>
          <w:rStyle w:val="VerbatimChar"/>
        </w:rPr>
        <w:t xml:space="preserve">Error in polychoric(x): You have more than8 categories for your items, polychoric is probably not needed</w:t>
      </w:r>
      <w:r>
        <w:t xml:space="preserve">. Since we have more than eight response categories, we should instead run an EFA with a Pearson’s correlation matrix as an input. Therefore, we first need to create a Pearson’s correlation matrix from our data frame, and then, run a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total variance is explained by a latent factor. Since the latent factor can account for more than 50% of variance, we can reasonably assume that the latent factor underlying our data is unidimensional. To better visualize the Eigenvalues of the EFA, we can draw a scree plot using these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pPr>
        <w:pStyle w:val="BodyText"/>
      </w:pPr>
      <w:r>
        <w:t xml:space="preserve">To scrutinize unidimensionality assumption, we can also run a parallel analysis by running this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this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Eigenvalues for the first factor is much larger than the its adjacent factor (</w:t>
      </w:r>
      <w:r>
        <w:rPr>
          <w:rStyle w:val="VerbatimChar"/>
        </w:rPr>
        <w:t xml:space="preserve">12.225/0.843</w:t>
      </w:r>
      <w:r>
        <w:t xml:space="preserve">), further supporting for the evidence for unidimensionality.</w:t>
      </w:r>
    </w:p>
    <w:bookmarkEnd w:id="38"/>
    <w:bookmarkStart w:id="39"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specification,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 1 to 22 of the data frame that we are going to use in the analysis. Then, we can continue to model fitting by typing this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presume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Apart from this tutorial, readers might encounter four common error messages after running</w:t>
      </w:r>
      <w:r>
        <w:t xml:space="preserve"> </w:t>
      </w:r>
      <w:r>
        <w:rPr>
          <w:rStyle w:val="VerbatimChar"/>
        </w:rPr>
        <w:t xml:space="preserve">mirt()</w:t>
      </w:r>
      <w:r>
        <w:t xml:space="preserve"> </w:t>
      </w:r>
      <w:r>
        <w:t xml:space="preserve">function: (a)</w:t>
      </w:r>
      <w:r>
        <w:t xml:space="preserve"> </w:t>
      </w:r>
      <w:r>
        <w:rPr>
          <w:rStyle w:val="VerbatimChar"/>
        </w:rPr>
        <w:t xml:space="preserve">EM cycles terminated after 500 iterations</w:t>
      </w:r>
      <w:r>
        <w:t xml:space="preserve">, (b)</w:t>
      </w:r>
      <w:r>
        <w:t xml:space="preserve"> </w:t>
      </w:r>
      <w:r>
        <w:rPr>
          <w:rStyle w:val="VerbatimChar"/>
        </w:rPr>
        <w:t xml:space="preserve">Could not invert information matrix; model may not be empirically identified</w:t>
      </w:r>
      <w:r>
        <w:t xml:space="preserve">, (c)</w:t>
      </w:r>
      <w:r>
        <w:t xml:space="preserve"> </w:t>
      </w:r>
      <w:r>
        <w:rPr>
          <w:rStyle w:val="VerbatimChar"/>
        </w:rPr>
        <w:t xml:space="preserve">The following items have only one response category and cannot be estimated</w:t>
      </w:r>
      <w:r>
        <w:t xml:space="preserve">, and (d)</w:t>
      </w:r>
      <w:r>
        <w:t xml:space="preserve"> </w:t>
      </w:r>
      <w:r>
        <w:rPr>
          <w:rStyle w:val="VerbatimChar"/>
        </w:rPr>
        <w:t xml:space="preserve">Error in [&lt;-(*tmp*, i, nms[[i]], value = items.old[[i]]) : subscript out of bounds</w:t>
      </w:r>
      <w:r>
        <w:t xml:space="preserve">. Error messages (a) and (b) correspond to the convergence issue, while (c) and (d) are issues related to the data structure.</w:t>
      </w:r>
    </w:p>
    <w:p>
      <w:pPr>
        <w:pStyle w:val="BodyText"/>
      </w:pPr>
      <w:r>
        <w:rPr>
          <w:iCs/>
          <w:i/>
        </w:rPr>
        <w:t xml:space="preserve">mirt</w:t>
      </w:r>
      <w:r>
        <w:t xml:space="preserve"> </w:t>
      </w:r>
      <w:r>
        <w:t xml:space="preserve">uses the EM algorithm as a default option. In short, the EM algorithm estimates model parameters in two steps: the expectation (E) and the maximization (M) steps. In the E step, the algorithm estimates the expected value of the</w:t>
      </w:r>
      <w:r>
        <w:t xml:space="preserve"> </w:t>
      </w:r>
      <m:oMath>
        <m:r>
          <m:t>θ</m:t>
        </m:r>
      </m:oMath>
      <w:r>
        <w:t xml:space="preserve">, and in the M step, it improves model parameters to maximize the likelihood of the observed data given the expected value of</w:t>
      </w:r>
      <w:r>
        <w:t xml:space="preserve"> </w:t>
      </w:r>
      <m:oMath>
        <m:r>
          <m:t>θ</m:t>
        </m:r>
      </m:oMath>
      <w:r>
        <w:t xml:space="preserve">. The process continues until model parameters are converged in stable values that fit to the data. If the error message (a) appears, it means that the package cannot estimate a stable solution for model parameters after 500 iterations. As a solution, readers can simply increase the maximum number of iterations to, for instance, 1000 cycles by adding this option</w:t>
      </w:r>
      <w:r>
        <w:t xml:space="preserve"> </w:t>
      </w:r>
      <w:r>
        <w:rPr>
          <w:rStyle w:val="VerbatimChar"/>
        </w:rPr>
        <w:t xml:space="preserve">technical = list(NCYCLES = 10000)</w:t>
      </w:r>
      <w:r>
        <w:t xml:space="preserve"> </w:t>
      </w:r>
      <w:r>
        <w:t xml:space="preserve">to the</w:t>
      </w:r>
      <w:r>
        <w:t xml:space="preserve"> </w:t>
      </w:r>
      <w:r>
        <w:rPr>
          <w:rStyle w:val="VerbatimChar"/>
        </w:rPr>
        <w:t xml:space="preserve">mirt()</w:t>
      </w:r>
      <w:r>
        <w:t xml:space="preserve"> </w:t>
      </w:r>
      <w:r>
        <w:t xml:space="preserve">function.</w:t>
      </w:r>
    </w:p>
    <w:p>
      <w:pPr>
        <w:pStyle w:val="BodyText"/>
      </w:pPr>
      <w:r>
        <w:t xml:space="preserve">The solution to error message (b) is less straightforward than (a) because it indicates that the model cannot be 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pPr>
        <w:pStyle w:val="BodyText"/>
      </w:pPr>
      <w:r>
        <w:t xml:space="preserve">The error message (c) and (d) are easier to solve because both indicate the error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specifying a vector with ten variables, while in fact, the data frame has only nine columns. To solve this issue, readers are suggested to check again whether the specified vector representing the model specification matches the structure of the data frame.</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 =</w:t>
      </w:r>
      <w:r>
        <w:rPr>
          <w:rStyle w:val="NormalTok"/>
        </w:rPr>
        <w:t xml:space="preserve"> </w:t>
      </w:r>
      <w:r>
        <w:rPr>
          <w:rStyle w:val="ConstantTok"/>
        </w:rPr>
        <w:t xml:space="preserve">TRUE</w:t>
      </w:r>
      <w:r>
        <w:rPr>
          <w:rStyle w:val="NormalTok"/>
        </w:rPr>
        <w:t xml:space="preserve">, </w:t>
      </w:r>
      <w:r>
        <w:rPr>
          <w:rStyle w:val="AttributeTok"/>
        </w:rPr>
        <w:t xml:space="preserve">simplify =</w:t>
      </w:r>
      <w:r>
        <w:rPr>
          <w:rStyle w:val="NormalTok"/>
        </w:rPr>
        <w:t xml:space="preserve"> </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 item discrimination exceeding 0.00, 0.35, 0.65, 1.35, and 1.70, as very low, low, moderate, high, and very high. As we seen in Table 4, item discrimination parameters of the RWA scale are ranging from high to very high (1.57 (Q1) to 3.32 (Q7)), suggesting efficient differentiation among individuals at different RWA levels. All threshold parameters show a consistent increase, implying that those with higher RWA levels tend towards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measure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both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 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 =</w:t>
      </w:r>
      <w:r>
        <w:rPr>
          <w:rStyle w:val="NormalTok"/>
        </w:rPr>
        <w:t xml:space="preserve"> </w:t>
      </w:r>
      <w:r>
        <w:rPr>
          <w:rStyle w:val="StringTok"/>
        </w:rPr>
        <w:t xml:space="preserve">"C2"</w:t>
      </w:r>
      <w:r>
        <w:rPr>
          <w:rStyle w:val="NormalTok"/>
        </w:rPr>
        <w:t xml:space="preserve">)</w:t>
      </w:r>
    </w:p>
    <w:p>
      <w:pPr>
        <w:pStyle w:val="FirstParagraph"/>
      </w:pPr>
      <w:r>
        <w:t xml:space="preserve">We ask the package to calculate the scaled</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by running this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are similar to a general guide of interpreting GOF in CFA or SEM models</w:t>
      </w:r>
      <w:r>
        <w:t xml:space="preserve"> </w:t>
      </w:r>
      <w:r>
        <w:t xml:space="preserve">(Schermelleh-Engel et al., 2003)</w:t>
      </w:r>
      <w:r>
        <w:t xml:space="preserve">.</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and this may be caused by local dependency between the items. We will explore this issue further in the next part.</w:t>
      </w:r>
    </w:p>
    <w:p>
      <w:pPr>
        <w:pStyle w:val="BodyText"/>
      </w:pPr>
      <w:r>
        <w:t xml:space="preserve">Next, we calculate item-level fit statistics, i.e., the scaled</w:t>
      </w:r>
      <w:r>
        <w:t xml:space="preserve"> </w:t>
      </w:r>
      <m:oMath>
        <m:r>
          <m:t>χ</m:t>
        </m:r>
      </m:oMath>
      <w:r>
        <w:rPr>
          <w:vertAlign w:val="superscript"/>
        </w:rPr>
        <w:t xml:space="preserve">2</w:t>
      </w:r>
      <w:r>
        <w:t xml:space="preserve"> </w:t>
      </w:r>
      <w:r>
        <w:t xml:space="preserve">statistics, by running this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scaled</w:t>
      </w:r>
      <w:r>
        <w:t xml:space="preserve"> </w:t>
      </w:r>
      <m:oMath>
        <m:r>
          <m:t>χ</m:t>
        </m:r>
      </m:oMath>
      <w:r>
        <w:rPr>
          <w:vertAlign w:val="superscript"/>
        </w:rPr>
        <w:t xml:space="preserve">2</w:t>
      </w:r>
      <w:r>
        <w:t xml:space="preserve"> </w:t>
      </w:r>
      <w:r>
        <w:t xml:space="preserve">to be nonsignificant, implying that there is no discrepancy between the observed response pattern with what the model predicts. In Table 5, only three items here are nonsignificant (Q2, Q4, and Q12), which strengthens our suspicion that the RWA items might not be locally independent.</w:t>
      </w:r>
    </w:p>
    <w:bookmarkEnd w:id="39"/>
    <w:bookmarkStart w:id="40" w:name="step-5-model-residuals"/>
    <w:p>
      <w:pPr>
        <w:pStyle w:val="Heading2"/>
      </w:pPr>
      <w:r>
        <w:t xml:space="preserve">Step 5: Model Residuals</w:t>
      </w:r>
    </w:p>
    <w:p>
      <w:pPr>
        <w:pStyle w:val="FirstParagraph"/>
      </w:pPr>
      <w:r>
        <w:t xml:space="preserve">To ensure that the items are locally independent,</w:t>
      </w:r>
      <w:r>
        <w:t xml:space="preserve"> </w:t>
      </w:r>
      <w:r>
        <w:rPr>
          <w:iCs/>
          <w:i/>
        </w:rPr>
        <w:t xml:space="preserve">mirt</w:t>
      </w:r>
      <w:r>
        <w:t xml:space="preserve"> </w:t>
      </w:r>
      <w:r>
        <w:t xml:space="preserve">offers several alternatives to examine the behavior of model residuals. First, we demonstrate how to run Local Dependency (LD)</w:t>
      </w:r>
      <w:r>
        <w:t xml:space="preserve"> </w:t>
      </w:r>
      <m:oMath>
        <m:r>
          <m:t>χ</m:t>
        </m:r>
      </m:oMath>
      <w:r>
        <w:rPr>
          <w:vertAlign w:val="superscript"/>
        </w:rPr>
        <w:t xml:space="preserve">2</w:t>
      </w:r>
      <w:r>
        <w:t xml:space="preserve"> </w:t>
      </w:r>
      <w:r>
        <w:t xml:space="preserve">statistics</w:t>
      </w:r>
      <w:r>
        <w:t xml:space="preserve"> </w:t>
      </w:r>
      <w:r>
        <w:t xml:space="preserve">(Chen &amp; Thissen, 1997)</w:t>
      </w:r>
      <w:r>
        <w:t xml:space="preserve">, which looks at the covariance between item pairs after accounting for</w:t>
      </w:r>
      <w:r>
        <w:t xml:space="preserve"> </w:t>
      </w:r>
      <m:oMath>
        <m:r>
          <m:t>θ</m:t>
        </m:r>
      </m:oMath>
      <w:r>
        <w:t xml:space="preserve">. To that end, readers can run two lines of codes as follows: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(LD)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Creating a new matrix containing values only on the upper side of the diagonal (correlations).</w:t>
      </w:r>
    </w:p>
    <w:p>
      <w:pPr>
        <w:pStyle w:val="FirstParagraph"/>
      </w:pPr>
      <w:r>
        <w:t xml:space="preserve">The first line of code aims to extract residuals of</w:t>
      </w:r>
      <w:r>
        <w:t xml:space="preserve"> </w:t>
      </w:r>
      <w:r>
        <w:rPr>
          <w:rStyle w:val="VerbatimChar"/>
        </w:rPr>
        <w:t xml:space="preserve">fit</w:t>
      </w:r>
      <w:r>
        <w:t xml:space="preserve"> </w:t>
      </w:r>
      <w:r>
        <w:t xml:space="preserve">model and store them as a matrix, namely</w:t>
      </w:r>
      <w:r>
        <w:t xml:space="preserve"> </w:t>
      </w:r>
      <w:r>
        <w:rPr>
          <w:rStyle w:val="VerbatimChar"/>
        </w:rPr>
        <w:t xml:space="preserve">ld</w:t>
      </w:r>
      <w:r>
        <w:t xml:space="preserve">. The</w:t>
      </w:r>
      <w:r>
        <w:t xml:space="preserve"> </w:t>
      </w:r>
      <w:r>
        <w:rPr>
          <w:rStyle w:val="VerbatimChar"/>
        </w:rPr>
        <w:t xml:space="preserve">type</w:t>
      </w:r>
      <w:r>
        <w:t xml:space="preserve"> </w:t>
      </w:r>
      <w:r>
        <w:t xml:space="preserve">option is set to</w:t>
      </w:r>
      <w:r>
        <w:t xml:space="preserve"> </w:t>
      </w:r>
      <w:r>
        <w:rPr>
          <w:rStyle w:val="VerbatimChar"/>
        </w:rPr>
        <w:t xml:space="preserve">"LD"</w:t>
      </w:r>
      <w:r>
        <w:t xml:space="preserve"> </w:t>
      </w:r>
      <w:r>
        <w:t xml:space="preserve">because we ask the package to calculate LD statistics of the</w:t>
      </w:r>
      <w:r>
        <w:t xml:space="preserve"> </w:t>
      </w:r>
      <w:r>
        <w:rPr>
          <w:rStyle w:val="VerbatimChar"/>
        </w:rPr>
        <w:t xml:space="preserve">fit</w:t>
      </w:r>
      <w:r>
        <w:t xml:space="preserve"> </w:t>
      </w:r>
      <w:r>
        <w:t xml:space="preserve">model. After running the first line, readers may view a matrix containing residual covariance (in the lower diagonal) and correlations (in the upper diagonal). Correlations are more interpretable, so we focus on the upper side of the diagonal. Therefore, the second line of code is to create a new matrix containing only correlation values in the upper diagonal.</w:t>
      </w:r>
    </w:p>
    <w:p>
      <w:pPr>
        <w:pStyle w:val="BodyText"/>
      </w:pPr>
      <w:r>
        <w:t xml:space="preserve">We are only interested in large correlations between a pair of items because they indicate that responses to one item depend on responses to another item beyond what is explained by</w:t>
      </w:r>
      <w:r>
        <w:t xml:space="preserve"> </w:t>
      </w:r>
      <m:oMath>
        <m:r>
          <m:t>θ</m:t>
        </m:r>
      </m:oMath>
      <w:r>
        <w:t xml:space="preserve">. It is important to note that there is no consensus on a rule of thumb for the cutoff value of residual correlations because LD statistics are contingent to the parameters of a specific dataset</w:t>
      </w:r>
      <w:r>
        <w:t xml:space="preserve"> </w:t>
      </w:r>
      <w:r>
        <w:t xml:space="preserve">(Christensen et al., 2017)</w:t>
      </w:r>
      <w:r>
        <w:t xml:space="preserve">. For the purpose of this tutorial, we set |0.2| as an paired correlation value that we want to look closely. To do so, we create a vector to define the value of residual correlations that we are interested in:</w:t>
      </w:r>
    </w:p>
    <w:p>
      <w:pPr>
        <w:pStyle w:val="SourceCode"/>
      </w:pP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A vector defining unusually large residuals ( &gt; |0.2|).</w:t>
      </w:r>
    </w:p>
    <w:p>
      <w:pPr>
        <w:pStyle w:val="FirstParagraph"/>
      </w:pPr>
      <w:r>
        <w:t xml:space="preserve">We can then use the new vector</w:t>
      </w:r>
      <w:r>
        <w:t xml:space="preserve"> </w:t>
      </w:r>
      <w:r>
        <w:rPr>
          <w:rStyle w:val="VerbatimChar"/>
        </w:rPr>
        <w:t xml:space="preserve">lar</w:t>
      </w:r>
      <w:r>
        <w:t xml:space="preserve"> </w:t>
      </w:r>
      <w:r>
        <w:t xml:space="preserve">to ask R to tell us the item pairs with residuals correlations above |0.2| by running this function: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After running the function above, readers may encounter an error message:</w:t>
      </w:r>
      <w:r>
        <w:t xml:space="preserve"> </w:t>
      </w:r>
      <w:r>
        <w:rPr>
          <w:rStyle w:val="VerbatimChar"/>
        </w:rPr>
        <w:t xml:space="preserve">Error in lar[i, 1] : subscript out of bounds</w:t>
      </w:r>
      <w:r>
        <w:t xml:space="preserve">. This message indicates that R does not detect any residual correlation above |0.2|. To paint a clearer picture, we may need to use another way to examine model residuals. In the next part, we demonstrate the use of Yen’s</w:t>
      </w:r>
      <w:r>
        <w:t xml:space="preserve"> </w:t>
      </w:r>
      <w:r>
        <w:rPr>
          <w:iCs/>
          <w:i/>
        </w:rPr>
        <w:t xml:space="preserve">Q</w:t>
      </w:r>
      <w:r>
        <w:rPr>
          <w:vertAlign w:val="subscript"/>
        </w:rPr>
        <w:t xml:space="preserve">3</w:t>
      </w:r>
      <w:r>
        <w:t xml:space="preserve"> </w:t>
      </w:r>
      <w:r>
        <w:t xml:space="preserve">statistics</w:t>
      </w:r>
      <w:r>
        <w:t xml:space="preserve"> </w:t>
      </w:r>
      <w:r>
        <w:t xml:space="preserve">(Yen, 1984)</w:t>
      </w:r>
      <w:r>
        <w:t xml:space="preserve">, which is considered more powerful for detecting underlying local dependency</w:t>
      </w:r>
      <w:r>
        <w:t xml:space="preserve"> </w:t>
      </w:r>
      <w:r>
        <w:t xml:space="preserve">(Chen &amp; Thissen, 1997)</w:t>
      </w:r>
      <w:r>
        <w:t xml:space="preserve">. To run Yen’s</w:t>
      </w:r>
      <w:r>
        <w:t xml:space="preserve"> </w:t>
      </w:r>
      <w:r>
        <w:rPr>
          <w:iCs/>
          <w:i/>
        </w:rPr>
        <w:t xml:space="preserve">Q</w:t>
      </w:r>
      <w:r>
        <w:rPr>
          <w:vertAlign w:val="subscript"/>
        </w:rPr>
        <w:t xml:space="preserve">3</w:t>
      </w:r>
      <w:r>
        <w:t xml:space="preserve">, readers can type and run this command:</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p>
    <w:p>
      <w:pPr>
        <w:pStyle w:val="FirstParagraph"/>
      </w:pPr>
      <w:r>
        <w:t xml:space="preserve">This code asks R to run</w:t>
      </w:r>
      <w:r>
        <w:t xml:space="preserve"> </w:t>
      </w:r>
      <w:r>
        <w:rPr>
          <w:rStyle w:val="VerbatimChar"/>
        </w:rPr>
        <w:t xml:space="preserve">residuals()</w:t>
      </w:r>
      <w:r>
        <w:t xml:space="preserve"> </w:t>
      </w:r>
      <w:r>
        <w:t xml:space="preserve">function using</w:t>
      </w:r>
      <w:r>
        <w:t xml:space="preserve"> </w:t>
      </w:r>
      <w:r>
        <w:rPr>
          <w:rStyle w:val="VerbatimChar"/>
        </w:rPr>
        <w:t xml:space="preserve">"Q3"</w:t>
      </w:r>
      <w:r>
        <w:t xml:space="preserve"> </w:t>
      </w:r>
      <w:r>
        <w:t xml:space="preserve">as the</w:t>
      </w:r>
      <w:r>
        <w:t xml:space="preserve"> </w:t>
      </w:r>
      <w:r>
        <w:rPr>
          <w:rStyle w:val="VerbatimChar"/>
        </w:rPr>
        <w:t xml:space="preserve">type</w:t>
      </w:r>
      <w:r>
        <w:t xml:space="preserve">, and then, keep the value as a new matrix, namely</w:t>
      </w:r>
      <w:r>
        <w:t xml:space="preserve"> </w:t>
      </w:r>
      <w:r>
        <w:rPr>
          <w:rStyle w:val="VerbatimChar"/>
        </w:rPr>
        <w:t xml:space="preserve">q3</w:t>
      </w:r>
      <w:r>
        <w:t xml:space="preserve">. Again, we are only interested in item pairwise correlations above |0.2|, and to help us flag problematic pairs, we can make use of</w:t>
      </w:r>
      <w:r>
        <w:t xml:space="preserve"> </w:t>
      </w:r>
      <w:r>
        <w:rPr>
          <w:rStyle w:val="VerbatimChar"/>
        </w:rPr>
        <w:t xml:space="preserve">findCorrelation()</w:t>
      </w:r>
      <w:r>
        <w:t xml:space="preserve"> </w:t>
      </w:r>
      <w:r>
        <w:t xml:space="preserve">function from</w:t>
      </w:r>
      <w:r>
        <w:t xml:space="preserve"> </w:t>
      </w:r>
      <w:r>
        <w:rPr>
          <w:iCs/>
          <w:i/>
        </w:rPr>
        <w:t xml:space="preserve">caret</w:t>
      </w:r>
      <w:r>
        <w:t xml:space="preserve"> </w:t>
      </w:r>
      <w:r>
        <w:t xml:space="preserve">package</w:t>
      </w:r>
      <w:r>
        <w:t xml:space="preserve"> </w:t>
      </w:r>
      <w:r>
        <w:t xml:space="preserve">(Kuhn, 2024)</w:t>
      </w:r>
      <w:r>
        <w:t xml:space="preserve"> </w:t>
      </w:r>
      <w:r>
        <w:t xml:space="preserve">as follows:</w:t>
      </w:r>
    </w:p>
    <w:p>
      <w:pPr>
        <w:pStyle w:val="SourceCode"/>
      </w:pP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Flagging problematic item pairwise correlations.</w:t>
      </w:r>
    </w:p>
    <w:p>
      <w:pPr>
        <w:pStyle w:val="FirstParagraph"/>
      </w:pPr>
      <w:r>
        <w:t xml:space="preserve">After running the code, readers may see in their R console that residual correlations between item Q3, Q4, Q5, Q7, Q11, Q13, Q14, Q18, Q19, and Q21 are above |0.2|. Interestingly, all of those items, except for Q4, have nonsignificant</w:t>
      </w:r>
      <w:r>
        <w:t xml:space="preserve"> </w:t>
      </w:r>
      <w:r>
        <w:rPr>
          <w:iCs/>
          <w:i/>
        </w:rPr>
        <w:t xml:space="preserve">S</w:t>
      </w:r>
      <w:r>
        <w:t xml:space="preserve">-</w:t>
      </w:r>
      <m:oMath>
        <m:r>
          <m:t>χ</m:t>
        </m:r>
      </m:oMath>
      <w:r>
        <w:rPr>
          <w:vertAlign w:val="superscript"/>
        </w:rPr>
        <w:t xml:space="preserve">2</w:t>
      </w:r>
      <w:r>
        <w:t xml:space="preserve"> </w:t>
      </w:r>
      <w:r>
        <w:t xml:space="preserve">statistics (see Table 5) as well, which tells us that we have to look at these items closely and then decide whether these items have shared characteristics beyond what is explained by the model.</w:t>
      </w:r>
    </w:p>
    <w:bookmarkEnd w:id="40"/>
    <w:bookmarkStart w:id="41" w:name="step-6-irt-plots"/>
    <w:p>
      <w:pPr>
        <w:pStyle w:val="Heading2"/>
      </w:pPr>
      <w:r>
        <w:t xml:space="preserve">Step 6: IRT Plots</w:t>
      </w:r>
    </w:p>
    <w:p>
      <w:pPr>
        <w:pStyle w:val="FirstParagraph"/>
      </w:pPr>
      <w:r>
        <w:rPr>
          <w:iCs/>
          <w:i/>
        </w:rPr>
        <w:t xml:space="preserve">mirt</w:t>
      </w:r>
      <w:r>
        <w:t xml:space="preserve"> </w:t>
      </w:r>
      <w:r>
        <w:t xml:space="preserve">offers features to visualize model parameters but the options for customizing these plots are rather limited.</w:t>
      </w:r>
      <w:r>
        <w:t xml:space="preserve"> </w:t>
      </w:r>
      <w:r>
        <w:rPr>
          <w:iCs/>
          <w:i/>
        </w:rPr>
        <w:t xml:space="preserve">ggmirt</w:t>
      </w:r>
      <w:r>
        <w:t xml:space="preserve"> </w:t>
      </w:r>
      <w:r>
        <w:t xml:space="preserve">package</w:t>
      </w:r>
      <w:r>
        <w:t xml:space="preserve"> </w:t>
      </w:r>
      <w:r>
        <w:t xml:space="preserve">(Masur, 2023)</w:t>
      </w:r>
      <w:r>
        <w:t xml:space="preserve"> </w:t>
      </w:r>
      <w:r>
        <w:t xml:space="preserve">fills this gap by combining</w:t>
      </w:r>
      <w:r>
        <w:t xml:space="preserve"> </w:t>
      </w:r>
      <w:r>
        <w:rPr>
          <w:iCs/>
          <w:i/>
        </w:rPr>
        <w:t xml:space="preserve">mirt</w:t>
      </w:r>
      <w:r>
        <w:t xml:space="preserve"> </w:t>
      </w:r>
      <w:r>
        <w:t xml:space="preserve">and</w:t>
      </w:r>
      <w:r>
        <w:t xml:space="preserve"> </w:t>
      </w:r>
      <w:r>
        <w:rPr>
          <w:iCs/>
          <w:i/>
        </w:rPr>
        <w:t xml:space="preserve">ggplot2</w:t>
      </w:r>
      <w:r>
        <w:t xml:space="preserve"> </w:t>
      </w:r>
      <w:r>
        <w:t xml:space="preserve">functions. In this tutorial, we demonstrate the use of</w:t>
      </w:r>
      <w:r>
        <w:t xml:space="preserve"> </w:t>
      </w:r>
      <w:r>
        <w:rPr>
          <w:iCs/>
          <w:i/>
        </w:rPr>
        <w:t xml:space="preserve">ggmirt</w:t>
      </w:r>
      <w:r>
        <w:t xml:space="preserve"> </w:t>
      </w:r>
      <w:r>
        <w:t xml:space="preserve">to visualize Item Probability Function (IPF), Item Information Function (IIF), Test Information Function (TIF), and conditional probability plot.</w:t>
      </w:r>
    </w:p>
    <w:p>
      <w:pPr>
        <w:pStyle w:val="BodyText"/>
      </w:pPr>
      <w:r>
        <w:t xml:space="preserve">To visualize IPF, readers can type and run this function:</w:t>
      </w:r>
    </w:p>
    <w:p>
      <w:pPr>
        <w:pStyle w:val="SourceCode"/>
      </w:pPr>
      <w:r>
        <w:rPr>
          <w:rStyle w:val="FunctionTok"/>
        </w:rPr>
        <w:t xml:space="preserve">tracePlot</w:t>
      </w:r>
      <w:r>
        <w:rPr>
          <w:rStyle w:val="NormalTok"/>
        </w:rPr>
        <w:t xml:space="preserve">(fit, </w:t>
      </w:r>
      <w:r>
        <w:rPr>
          <w:rStyle w:val="AttributeTok"/>
        </w:rPr>
        <w:t xml:space="preserve">title =</w:t>
      </w:r>
      <w:r>
        <w:rPr>
          <w:rStyle w:val="NormalTok"/>
        </w:rPr>
        <w:t xml:space="preserve"> </w:t>
      </w:r>
      <w:r>
        <w:rPr>
          <w:rStyle w:val="StringTok"/>
        </w:rPr>
        <w:t xml:space="preserve">"Item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Categories"</w:t>
      </w:r>
      <w:r>
        <w:rPr>
          <w:rStyle w:val="NormalTok"/>
        </w:rPr>
        <w:t xml:space="preserve">)</w:t>
      </w:r>
    </w:p>
    <w:p>
      <w:pPr>
        <w:pStyle w:val="FirstParagraph"/>
      </w:pPr>
      <w:r>
        <w:t xml:space="preserve">The</w:t>
      </w:r>
      <w:r>
        <w:t xml:space="preserve"> </w:t>
      </w:r>
      <w:r>
        <w:rPr>
          <w:rStyle w:val="VerbatimChar"/>
        </w:rPr>
        <w:t xml:space="preserve">labs(color)</w:t>
      </w:r>
      <w:r>
        <w:t xml:space="preserve"> </w:t>
      </w:r>
      <w:r>
        <w:t xml:space="preserve">function is to assign different colors to each curve representing a response category. The output of this function is Figure 4. In Figure 4, we see that as</w:t>
      </w:r>
      <w:r>
        <w:t xml:space="preserve"> </w:t>
      </w:r>
      <m:oMath>
        <m:r>
          <m:t>θ</m:t>
        </m:r>
      </m:oMath>
      <w:r>
        <w:t xml:space="preserve"> </w:t>
      </w:r>
      <w:r>
        <w:t xml:space="preserve">increases, respondents are more likely to choose higher response categories. The gradual transition from one response option to the next across the spectrum of</w:t>
      </w:r>
      <w:r>
        <w:t xml:space="preserve"> </w:t>
      </w:r>
      <m:oMath>
        <m:r>
          <m:t>θ</m:t>
        </m:r>
      </m:oMath>
      <w:r>
        <w:t xml:space="preserve"> </w:t>
      </w:r>
      <w:r>
        <w:t xml:space="preserve">values indicates that the items are capturing incremental increases in the RWA level. However, all IPFs of RWA items seem to be significantly overlapping and tend to peak on a</w:t>
      </w:r>
      <w:r>
        <w:t xml:space="preserve"> </w:t>
      </w:r>
      <m:oMath>
        <m:r>
          <m:t>θ</m:t>
        </m:r>
      </m:oMath>
      <w:r>
        <w:t xml:space="preserve"> </w:t>
      </w:r>
      <w:r>
        <w:t xml:space="preserve">value close to or higher than the mean. This implies that RWA items are more sensitive to differentiate participants with high levels of RWA.</w:t>
      </w:r>
    </w:p>
    <w:p>
      <w:pPr>
        <w:pStyle w:val="BodyText"/>
      </w:pPr>
      <w:r>
        <w:t xml:space="preserve">To evaluate the performance of each item in measuring RWA trait, we can visualize the amount of information explained by each item with this simple line of code:</w:t>
      </w:r>
    </w:p>
    <w:p>
      <w:pPr>
        <w:pStyle w:val="SourceCode"/>
      </w:pPr>
      <w:r>
        <w:rPr>
          <w:rStyle w:val="FunctionTok"/>
        </w:rPr>
        <w:t xml:space="preserve">itemInfoPlot</w:t>
      </w:r>
      <w:r>
        <w:rPr>
          <w:rStyle w:val="NormalTok"/>
        </w:rPr>
        <w:t xml:space="preserve">(fit,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"Item Information Functions of the RWA Scale"</w:t>
      </w:r>
      <w:r>
        <w:rPr>
          <w:rStyle w:val="NormalTok"/>
        </w:rPr>
        <w:t xml:space="preserve">)</w:t>
      </w:r>
    </w:p>
    <w:p>
      <w:pPr>
        <w:pStyle w:val="FirstParagraph"/>
      </w:pPr>
      <w:r>
        <w:t xml:space="preserve">The</w:t>
      </w:r>
      <w:r>
        <w:t xml:space="preserve"> </w:t>
      </w:r>
      <w:r>
        <w:rPr>
          <w:rStyle w:val="VerbatimChar"/>
        </w:rPr>
        <w:t xml:space="preserve">facet</w:t>
      </w:r>
      <w:r>
        <w:t xml:space="preserve"> </w:t>
      </w:r>
      <w:r>
        <w:t xml:space="preserve">option is set to</w:t>
      </w:r>
      <w:r>
        <w:t xml:space="preserve"> </w:t>
      </w:r>
      <w:r>
        <w:rPr>
          <w:rStyle w:val="VerbatimChar"/>
        </w:rPr>
        <w:t xml:space="preserve">TRUE</w:t>
      </w:r>
      <w:r>
        <w:t xml:space="preserve"> </w:t>
      </w:r>
      <w:r>
        <w:t xml:space="preserve">so that R displays IIF for each item. The output for this function is Figure 5, where the x-axis represents the range of</w:t>
      </w:r>
      <w:r>
        <w:t xml:space="preserve"> </w:t>
      </w:r>
      <m:oMath>
        <m:r>
          <m:t>θ</m:t>
        </m:r>
      </m:oMath>
      <w:r>
        <w:t xml:space="preserve">, and the y-axis indicates the amount of information provided by each item. Peaks that are higher and narrower indicate items that are very informative for specific levels of</w:t>
      </w:r>
      <w:r>
        <w:t xml:space="preserve"> </w:t>
      </w:r>
      <m:oMath>
        <m:r>
          <m:t>θ</m:t>
        </m:r>
      </m:oMath>
      <w:r>
        <w:t xml:space="preserve">. In our case, most items provide the highest amount of information near the center to the right side of the</w:t>
      </w:r>
      <w:r>
        <w:t xml:space="preserve"> </w:t>
      </w:r>
      <m:oMath>
        <m:r>
          <m:t>θ</m:t>
        </m:r>
      </m:oMath>
      <w:r>
        <w:t xml:space="preserve"> </w:t>
      </w:r>
      <w:r>
        <w:t xml:space="preserve">distribution, indicating they are most useful for individuals with an average to high level of RWA.</w:t>
      </w:r>
    </w:p>
    <w:p>
      <w:pPr>
        <w:pStyle w:val="BodyText"/>
      </w:pPr>
      <w:r>
        <w:t xml:space="preserve">It is also possible to evaluate the overall performance of the RWA scale by plotting a TIF, which can be done by running this following code:</w:t>
      </w:r>
    </w:p>
    <w:p>
      <w:pPr>
        <w:pStyle w:val="SourceCode"/>
      </w:pPr>
      <w:r>
        <w:rPr>
          <w:rStyle w:val="FunctionTok"/>
        </w:rPr>
        <w:t xml:space="preserve">testInfoPlot</w:t>
      </w:r>
      <w:r>
        <w:rPr>
          <w:rStyle w:val="NormalTok"/>
        </w:rPr>
        <w:t xml:space="preserve">(fit, </w:t>
      </w:r>
      <w:r>
        <w:rPr>
          <w:rStyle w:val="AttributeTok"/>
        </w:rPr>
        <w:t xml:space="preserve">title =</w:t>
      </w:r>
      <w:r>
        <w:rPr>
          <w:rStyle w:val="NormalTok"/>
        </w:rPr>
        <w:t xml:space="preserve"> </w:t>
      </w:r>
      <w:r>
        <w:rPr>
          <w:rStyle w:val="StringTok"/>
        </w:rPr>
        <w:t xml:space="preserve">"Test Information Function of the RWA Scale"</w:t>
      </w:r>
      <w:r>
        <w:rPr>
          <w:rStyle w:val="NormalTok"/>
        </w:rPr>
        <w:t xml:space="preserve">)</w:t>
      </w:r>
    </w:p>
    <w:p>
      <w:pPr>
        <w:pStyle w:val="FirstParagraph"/>
      </w:pPr>
      <w:r>
        <w:t xml:space="preserve">The output of this code is Figure 6, and according to this, the RWA scale as a whole is informative for measuring a group of individuals with a wide range of RWA levels, i.e., between -2</w:t>
      </w:r>
      <w:r>
        <w:rPr>
          <w:iCs/>
          <w:i/>
        </w:rPr>
        <w:t xml:space="preserve">SD</w:t>
      </w:r>
      <w:r>
        <w:t xml:space="preserve"> </w:t>
      </w:r>
      <w:r>
        <w:t xml:space="preserve">to +4</w:t>
      </w:r>
      <w:r>
        <w:rPr>
          <w:iCs/>
          <w:i/>
        </w:rPr>
        <w:t xml:space="preserve">SD</w:t>
      </w:r>
      <w:r>
        <w:t xml:space="preserve">. However, the RWA scale is not optimal for measuring individuals with RWA levels below or beyond this range.</w:t>
      </w:r>
    </w:p>
    <w:bookmarkEnd w:id="41"/>
    <w:bookmarkStart w:id="42" w:name="step-7-computing-reliability"/>
    <w:p>
      <w:pPr>
        <w:pStyle w:val="Heading2"/>
      </w:pPr>
      <w:r>
        <w:t xml:space="preserve">Step 7: Computing Reliability</w:t>
      </w:r>
    </w:p>
    <w:p>
      <w:pPr>
        <w:pStyle w:val="FirstParagraph"/>
      </w:pPr>
      <w:r>
        <w:t xml:space="preserve">The heart of an IRT analysis is to estimate the precision of the measure, which can vary given different levels of</w:t>
      </w:r>
      <w:r>
        <w:t xml:space="preserve"> </w:t>
      </w:r>
      <m:oMath>
        <m:r>
          <m:t>θ</m:t>
        </m:r>
      </m:oMath>
      <w:r>
        <w:t xml:space="preserve">.</w:t>
      </w:r>
      <w:r>
        <w:t xml:space="preserve"> </w:t>
      </w:r>
      <w:r>
        <w:rPr>
          <w:iCs/>
          <w:i/>
        </w:rPr>
        <w:t xml:space="preserve">mirt</w:t>
      </w:r>
      <w:r>
        <w:t xml:space="preserve"> </w:t>
      </w:r>
      <w:r>
        <w:t xml:space="preserve">provides two strategies to compute reliability that differs in their assumption regarding the distribution of</w:t>
      </w:r>
      <w:r>
        <w:t xml:space="preserve"> </w:t>
      </w:r>
      <m:oMath>
        <m:r>
          <m:t>θ</m:t>
        </m:r>
      </m:oMath>
      <w:r>
        <w:t xml:space="preserve">. First, readers may calculate marginal reliability by running this simple command:</w:t>
      </w:r>
    </w:p>
    <w:p>
      <w:pPr>
        <w:pStyle w:val="SourceCode"/>
      </w:pPr>
      <w:r>
        <w:rPr>
          <w:rStyle w:val="FunctionTok"/>
        </w:rPr>
        <w:t xml:space="preserve">marginal_rxx</w:t>
      </w:r>
      <w:r>
        <w:rPr>
          <w:rStyle w:val="NormalTok"/>
        </w:rPr>
        <w:t xml:space="preserve">(fit)</w:t>
      </w:r>
    </w:p>
    <w:p>
      <w:pPr>
        <w:pStyle w:val="FirstParagraph"/>
      </w:pPr>
      <w:r>
        <w:t xml:space="preserve">The output of the above code is 0.948, which indicates that the RWA scale as a whole is reliable, assuming that the underlying</w:t>
      </w:r>
      <w:r>
        <w:t xml:space="preserve"> </w:t>
      </w:r>
      <m:oMath>
        <m:r>
          <m:t>θ</m:t>
        </m:r>
      </m:oMath>
      <w:r>
        <w:t xml:space="preserve"> </w:t>
      </w:r>
      <w:r>
        <w:t xml:space="preserve">distribution follows the Gaussian or normal distribution</w:t>
      </w:r>
      <w:r>
        <w:t xml:space="preserve"> </w:t>
      </w:r>
      <w:r>
        <w:t xml:space="preserve">(R. P. Chalmers, 2019)</w:t>
      </w:r>
      <w:r>
        <w:t xml:space="preserve">. Since reliability can vary across different levels of</w:t>
      </w:r>
      <w:r>
        <w:t xml:space="preserve"> </w:t>
      </w:r>
      <m:oMath>
        <m:r>
          <m:t>θ</m:t>
        </m:r>
      </m:oMath>
      <w:r>
        <w:t xml:space="preserve">, readers can also visualize the scale’s reliability given the levels of</w:t>
      </w:r>
      <w:r>
        <w:t xml:space="preserve"> </w:t>
      </w:r>
      <m:oMath>
        <m:r>
          <m:t>θ</m:t>
        </m:r>
      </m:oMath>
      <w:r>
        <w:t xml:space="preserve"> </w:t>
      </w:r>
      <w:r>
        <w:t xml:space="preserve">by running the function of</w:t>
      </w:r>
      <w:r>
        <w:t xml:space="preserve"> </w:t>
      </w:r>
      <w:r>
        <w:rPr>
          <w:iCs/>
          <w:i/>
        </w:rPr>
        <w:t xml:space="preserve">ggmirt</w:t>
      </w:r>
      <w:r>
        <w:t xml:space="preserve"> </w:t>
      </w:r>
      <w:r>
        <w:t xml:space="preserve">package, as follows:</w:t>
      </w:r>
    </w:p>
    <w:p>
      <w:pPr>
        <w:pStyle w:val="SourceCode"/>
      </w:pPr>
      <w:r>
        <w:rPr>
          <w:rStyle w:val="FunctionTok"/>
        </w:rPr>
        <w:t xml:space="preserve">conRelPlot</w:t>
      </w:r>
      <w:r>
        <w:rPr>
          <w:rStyle w:val="NormalTok"/>
        </w:rPr>
        <w:t xml:space="preserve">(fit, </w:t>
      </w:r>
      <w:r>
        <w:rPr>
          <w:rStyle w:val="AttributeTok"/>
        </w:rPr>
        <w:t xml:space="preserve">title =</w:t>
      </w:r>
      <w:r>
        <w:rPr>
          <w:rStyle w:val="NormalTok"/>
        </w:rPr>
        <w:t xml:space="preserve"> </w:t>
      </w:r>
      <w:r>
        <w:rPr>
          <w:rStyle w:val="StringTok"/>
        </w:rPr>
        <w:t xml:space="preserve">"Reliability of the RWA Scale Given to the θ Level"</w:t>
      </w:r>
      <w:r>
        <w:rPr>
          <w:rStyle w:val="NormalTok"/>
        </w:rPr>
        <w:t xml:space="preserve">)</w:t>
      </w:r>
    </w:p>
    <w:p>
      <w:pPr>
        <w:pStyle w:val="FirstParagraph"/>
      </w:pPr>
      <w:r>
        <w:t xml:space="preserve">The output of this code is Figure 7, which shows that the RWA scale can measure individuals with</w:t>
      </w:r>
      <w:r>
        <w:t xml:space="preserve"> </w:t>
      </w:r>
      <m:oMath>
        <m:r>
          <m:t>θ</m:t>
        </m:r>
      </m:oMath>
      <w:r>
        <w:t xml:space="preserve"> </w:t>
      </w:r>
      <w:r>
        <w:t xml:space="preserve">levels between -2</w:t>
      </w:r>
      <w:r>
        <w:rPr>
          <w:iCs/>
          <w:i/>
        </w:rPr>
        <w:t xml:space="preserve">SD</w:t>
      </w:r>
      <w:r>
        <w:t xml:space="preserve"> </w:t>
      </w:r>
      <w:r>
        <w:t xml:space="preserve">and +4</w:t>
      </w:r>
      <w:r>
        <w:rPr>
          <w:iCs/>
          <w:i/>
        </w:rPr>
        <w:t xml:space="preserve">SD</w:t>
      </w:r>
      <w:r>
        <w:t xml:space="preserve"> </w:t>
      </w:r>
      <w:r>
        <w:t xml:space="preserve">with sufficient reliability, i.e.,</w:t>
      </w:r>
      <w:r>
        <w:t xml:space="preserve"> </w:t>
      </w:r>
      <w:r>
        <w:rPr>
          <w:iCs/>
          <w:i/>
        </w:rPr>
        <w:t xml:space="preserve">r</w:t>
      </w:r>
      <w:r>
        <w:rPr>
          <w:vertAlign w:val="subscript"/>
        </w:rPr>
        <w:t xml:space="preserve">xx</w:t>
      </w:r>
      <w:r>
        <w:t xml:space="preserve"> </w:t>
      </w:r>
      <m:oMath>
        <m:r>
          <m:rPr>
            <m:sty m:val="p"/>
          </m:rPr>
          <m:t>≥</m:t>
        </m:r>
      </m:oMath>
      <w:r>
        <w:t xml:space="preserve"> </w:t>
      </w:r>
      <w:r>
        <w:t xml:space="preserve">0.75.</w:t>
      </w:r>
    </w:p>
    <w:p>
      <w:pPr>
        <w:pStyle w:val="BodyText"/>
      </w:pPr>
      <w:r>
        <w:t xml:space="preserve">Second,</w:t>
      </w:r>
      <w:r>
        <w:t xml:space="preserve"> </w:t>
      </w:r>
      <w:r>
        <w:rPr>
          <w:iCs/>
          <w:i/>
        </w:rPr>
        <w:t xml:space="preserve">mirt</w:t>
      </w:r>
      <w:r>
        <w:t xml:space="preserve"> </w:t>
      </w:r>
      <w:r>
        <w:t xml:space="preserve">can also calculate the RWA scale overall reliability using</w:t>
      </w:r>
      <w:r>
        <w:t xml:space="preserve"> </w:t>
      </w:r>
      <m:oMath>
        <m:r>
          <m:t>θ</m:t>
        </m:r>
      </m:oMath>
      <w:r>
        <w:t xml:space="preserve"> </w:t>
      </w:r>
      <w:r>
        <w:t xml:space="preserve">predicted by the model. To compute empirical reliability, one needs to calculate estimated</w:t>
      </w:r>
      <w:r>
        <w:t xml:space="preserve"> </w:t>
      </w:r>
      <m:oMath>
        <m:r>
          <m:t>θ</m:t>
        </m:r>
      </m:oMath>
      <w:r>
        <w:t xml:space="preserve"> </w:t>
      </w:r>
      <w:r>
        <w:t xml:space="preserve">value of each participant first, and then, calculate reliability based on these values. To do this, readers can run these two lines of codes:</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w:t>
      </w:r>
      <w:r>
        <w:rPr>
          <w:rStyle w:val="ConstantTok"/>
        </w:rPr>
        <w:t xml:space="preserve">TRUE</w:t>
      </w:r>
      <w:r>
        <w:rPr>
          <w:rStyle w:val="NormalTok"/>
        </w:rPr>
        <w:t xml:space="preserve">) </w:t>
      </w:r>
      <w:r>
        <w:rPr>
          <w:rStyle w:val="CommentTok"/>
        </w:rPr>
        <w:t xml:space="preserve"># Extracting the estimated theta score of each participant.</w:t>
      </w:r>
      <w:r>
        <w:br/>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The</w:t>
      </w:r>
      <w:r>
        <w:t xml:space="preserve"> </w:t>
      </w:r>
      <w:r>
        <w:rPr>
          <w:rStyle w:val="VerbatimChar"/>
        </w:rPr>
        <w:t xml:space="preserve">fscores()</w:t>
      </w:r>
      <w:r>
        <w:t xml:space="preserve"> </w:t>
      </w:r>
      <w:r>
        <w:t xml:space="preserve">function is used to compute the estimated</w:t>
      </w:r>
      <w:r>
        <w:t xml:space="preserve"> </w:t>
      </w:r>
      <m:oMath>
        <m:r>
          <m:t>θ</m:t>
        </m:r>
      </m:oMath>
      <w:r>
        <w:t xml:space="preserve"> </w:t>
      </w:r>
      <w:r>
        <w:t xml:space="preserve">value for each participant predicted by the</w:t>
      </w:r>
      <w:r>
        <w:t xml:space="preserve"> </w:t>
      </w:r>
      <w:r>
        <w:rPr>
          <w:rStyle w:val="VerbatimChar"/>
        </w:rPr>
        <w:t xml:space="preserve">fit</w:t>
      </w:r>
      <w:r>
        <w:t xml:space="preserve"> </w:t>
      </w:r>
      <w:r>
        <w:t xml:space="preserve">model. The</w:t>
      </w:r>
      <w:r>
        <w:t xml:space="preserve"> </w:t>
      </w:r>
      <w:r>
        <w:rPr>
          <w:rStyle w:val="VerbatimChar"/>
        </w:rPr>
        <w:t xml:space="preserve">full.scores.SE</w:t>
      </w:r>
      <w:r>
        <w:t xml:space="preserve"> </w:t>
      </w:r>
      <w:r>
        <w:t xml:space="preserve">is set to</w:t>
      </w:r>
      <w:r>
        <w:t xml:space="preserve"> </w:t>
      </w:r>
      <w:r>
        <w:rPr>
          <w:rStyle w:val="VerbatimChar"/>
        </w:rPr>
        <w:t xml:space="preserve">TRUE</w:t>
      </w:r>
      <w:r>
        <w:t xml:space="preserve"> </w:t>
      </w:r>
      <w:r>
        <w:t xml:space="preserve">because the package uses the</w:t>
      </w:r>
      <w:r>
        <w:t xml:space="preserve"> </w:t>
      </w:r>
      <m:oMath>
        <m:r>
          <m:t>θ</m:t>
        </m:r>
      </m:oMath>
      <w:r>
        <w:t xml:space="preserve"> </w:t>
      </w:r>
      <w:r>
        <w:t xml:space="preserve">value and standard error of each participant (</w:t>
      </w:r>
      <w:r>
        <w:rPr>
          <w:iCs/>
          <w:i/>
        </w:rPr>
        <w:t xml:space="preserve">SE</w:t>
      </w:r>
      <m:oMath>
        <m:r>
          <m:t>θ</m:t>
        </m:r>
      </m:oMath>
      <w:r>
        <w:t xml:space="preserve">) to compute the empirical reliability. We store the estimated</w:t>
      </w:r>
      <w:r>
        <w:t xml:space="preserve"> </w:t>
      </w:r>
      <m:oMath>
        <m:r>
          <m:t>θ</m:t>
        </m:r>
      </m:oMath>
      <w:r>
        <w:t xml:space="preserve"> </w:t>
      </w:r>
      <w:r>
        <w:t xml:space="preserve">and its</w:t>
      </w:r>
      <w:r>
        <w:t xml:space="preserve"> </w:t>
      </w:r>
      <w:r>
        <w:rPr>
          <w:iCs/>
          <w:i/>
        </w:rPr>
        <w:t xml:space="preserve">SE</w:t>
      </w:r>
      <m:oMath>
        <m:r>
          <m:t>θ</m:t>
        </m:r>
      </m:oMath>
      <w:r>
        <w:t xml:space="preserve"> </w:t>
      </w:r>
      <w:r>
        <w:t xml:space="preserve">in a new data frame, namely</w:t>
      </w:r>
      <w:r>
        <w:t xml:space="preserve"> </w:t>
      </w:r>
      <w:r>
        <w:rPr>
          <w:rStyle w:val="VerbatimChar"/>
        </w:rPr>
        <w:t xml:space="preserve">theta_se</w:t>
      </w:r>
      <w:r>
        <w:t xml:space="preserve">, and then run</w:t>
      </w:r>
      <w:r>
        <w:t xml:space="preserve"> </w:t>
      </w:r>
      <w:r>
        <w:rPr>
          <w:rStyle w:val="VerbatimChar"/>
        </w:rPr>
        <w:t xml:space="preserve">empirical_rxx()</w:t>
      </w:r>
      <w:r>
        <w:t xml:space="preserve"> </w:t>
      </w:r>
      <w:r>
        <w:t xml:space="preserve">function to calculate empirical reliability. The output of these codes is 0.953, which is very close to marginal reliability we estimated before.</w:t>
      </w:r>
      <w:r>
        <w:t xml:space="preserve"> </w:t>
      </w:r>
      <w:r>
        <w:t xml:space="preserve">Notably, while marginal and empirical reliability aim to quantify the overall reliability of the scale, they base the calculations on different assumptions. Marginal reliability assumes that</w:t>
      </w:r>
      <w:r>
        <w:t xml:space="preserve"> </w:t>
      </w:r>
      <m:oMath>
        <m:r>
          <m:t>θ</m:t>
        </m:r>
      </m:oMath>
      <w:r>
        <w:t xml:space="preserve"> </w:t>
      </w:r>
      <w:r>
        <w:t xml:space="preserve">is normally distributed, and empirical reliability uses the</w:t>
      </w:r>
      <w:r>
        <w:t xml:space="preserve"> </w:t>
      </w:r>
      <m:oMath>
        <m:r>
          <m:t>θ</m:t>
        </m:r>
      </m:oMath>
      <w:r>
        <w:t xml:space="preserve"> </w:t>
      </w:r>
      <w:r>
        <w:t xml:space="preserve">distribution predicted by the model, which still contains measurement error but is more realistic. Note that our model has a poor fit, perhaps due to local dependence, as we showed in steps 4 and 5. In practice, we recommend that readers address model fitting issues before interpreting reliability or drawing substantive conclusions based on these estimates.</w:t>
      </w:r>
    </w:p>
    <w:p>
      <w:pPr>
        <w:pStyle w:val="BodyText"/>
      </w:pPr>
      <w:r>
        <w:t xml:space="preserve">To paint a more comprehensive picture, we can compare IRT-based reliability calculations with unweighted sum-score based reliability, such as Cronbach’s</w:t>
      </w:r>
      <w:r>
        <w:t xml:space="preserve"> </w:t>
      </w:r>
      <m:oMath>
        <m:r>
          <m:t>α</m:t>
        </m:r>
      </m:oMath>
      <w:r>
        <w:t xml:space="preserve"> </w:t>
      </w:r>
      <w:r>
        <w:t xml:space="preserve">and McDonald’s</w:t>
      </w:r>
      <w:r>
        <w:t xml:space="preserve"> </w:t>
      </w:r>
      <m:oMath>
        <m:r>
          <m:t>ω</m:t>
        </m:r>
      </m:oMath>
      <w:r>
        <w:t xml:space="preserve">. To do this, we can use</w:t>
      </w:r>
      <w:r>
        <w:t xml:space="preserve"> </w:t>
      </w:r>
      <w:r>
        <w:rPr>
          <w:rStyle w:val="VerbatimChar"/>
        </w:rPr>
        <w:t xml:space="preserve">omega()</w:t>
      </w:r>
      <w:r>
        <w:t xml:space="preserve"> </w:t>
      </w:r>
      <w:r>
        <w:t xml:space="preserve">function provided by</w:t>
      </w:r>
      <w:r>
        <w:t xml:space="preserve"> </w:t>
      </w:r>
      <w:r>
        <w:rPr>
          <w:iCs/>
          <w:i/>
        </w:rPr>
        <w:t xml:space="preserve">psych</w:t>
      </w:r>
      <w:r>
        <w:t xml:space="preserve"> </w:t>
      </w:r>
      <w:r>
        <w:t xml:space="preserve">package</w:t>
      </w:r>
      <w:r>
        <w:t xml:space="preserve"> </w:t>
      </w:r>
      <w:r>
        <w:t xml:space="preserve">(Revelle, 2023)</w:t>
      </w:r>
      <w:r>
        <w:t xml:space="preserve">, which can be done by running this command:</w:t>
      </w:r>
    </w:p>
    <w:p>
      <w:pPr>
        <w:pStyle w:val="SourceCode"/>
      </w:pPr>
      <w:r>
        <w:rPr>
          <w:rStyle w:val="FunctionTok"/>
        </w:rPr>
        <w:t xml:space="preserve">omega</w:t>
      </w:r>
      <w:r>
        <w:rPr>
          <w:rStyle w:val="NormalTok"/>
        </w:rPr>
        <w:t xml:space="preserve">(rwa)</w:t>
      </w:r>
    </w:p>
    <w:p>
      <w:pPr>
        <w:pStyle w:val="FirstParagraph"/>
      </w:pPr>
      <w:r>
        <w:t xml:space="preserve">The output of</w:t>
      </w:r>
      <w:r>
        <w:t xml:space="preserve"> </w:t>
      </w:r>
      <w:r>
        <w:rPr>
          <w:rStyle w:val="VerbatimChar"/>
        </w:rPr>
        <w:t xml:space="preserve">omega()</w:t>
      </w:r>
      <w:r>
        <w:t xml:space="preserve"> </w:t>
      </w:r>
      <w:r>
        <w:t xml:space="preserve">function includes many information but we only need to focus on Cronbach’s</w:t>
      </w:r>
      <w:r>
        <w:t xml:space="preserve"> </w:t>
      </w:r>
      <m:oMath>
        <m:r>
          <m:t>α</m:t>
        </m:r>
      </m:oMath>
      <w:r>
        <w:t xml:space="preserve"> </w:t>
      </w:r>
      <w:r>
        <w:t xml:space="preserve">and McDonald’s</w:t>
      </w:r>
      <w:r>
        <w:t xml:space="preserve"> </w:t>
      </w:r>
      <m:oMath>
        <m:r>
          <m:t>ω</m:t>
        </m:r>
      </m:oMath>
      <w:r>
        <w:rPr>
          <w:vertAlign w:val="subscript"/>
        </w:rPr>
        <w:t xml:space="preserve">h</w:t>
      </w:r>
      <w:r>
        <w:t xml:space="preserve">. Both Cronbach’s</w:t>
      </w:r>
      <w:r>
        <w:t xml:space="preserve"> </w:t>
      </w:r>
      <m:oMath>
        <m:r>
          <m:t>α</m:t>
        </m:r>
      </m:oMath>
      <w:r>
        <w:t xml:space="preserve"> </w:t>
      </w:r>
      <w:r>
        <w:t xml:space="preserve">(</w:t>
      </w:r>
      <m:oMath>
        <m:r>
          <m:t>α</m:t>
        </m:r>
      </m:oMath>
      <w:r>
        <w:t xml:space="preserve"> </w:t>
      </w:r>
      <w:r>
        <w:t xml:space="preserve">= 0.964) and McDonald’s</w:t>
      </w:r>
      <w:r>
        <w:t xml:space="preserve"> </w:t>
      </w:r>
      <m:oMath>
        <m:r>
          <m:t>ω</m:t>
        </m:r>
      </m:oMath>
      <w:r>
        <w:t xml:space="preserve"> </w:t>
      </w:r>
      <w:r>
        <w:t xml:space="preserve">(</w:t>
      </w:r>
      <m:oMath>
        <m:r>
          <m:t>ω</m:t>
        </m:r>
      </m:oMath>
      <w:r>
        <w:rPr>
          <w:vertAlign w:val="subscript"/>
        </w:rPr>
        <w:t xml:space="preserve">h</w:t>
      </w:r>
      <w:r>
        <w:t xml:space="preserve"> </w:t>
      </w:r>
      <w:r>
        <w:t xml:space="preserve">= 0.85) shows that the RWA scale is overall internally consistent.</w:t>
      </w:r>
    </w:p>
    <w:bookmarkEnd w:id="42"/>
    <w:bookmarkEnd w:id="43"/>
    <w:bookmarkStart w:id="44" w:name="conclusions"/>
    <w:p>
      <w:pPr>
        <w:pStyle w:val="Heading1"/>
      </w:pPr>
      <w:r>
        <w:t xml:space="preserve">Conclusions</w:t>
      </w:r>
    </w:p>
    <w:p>
      <w:pPr>
        <w:pStyle w:val="FirstParagraph"/>
      </w:pPr>
      <w:r>
        <w:t xml:space="preserve">Since construct validation is an ongoing process</w:t>
      </w:r>
      <w:r>
        <w:t xml:space="preserve"> </w:t>
      </w:r>
      <w:r>
        <w:t xml:space="preserve">(Messick, 1995)</w:t>
      </w:r>
      <w:r>
        <w:t xml:space="preserve">, applied researchers can contribute to the cumulative science by reporting evidence for measurement validity</w:t>
      </w:r>
      <w:r>
        <w:t xml:space="preserve"> </w:t>
      </w:r>
      <w:r>
        <w:t xml:space="preserve">(Flora &amp; Flake, 2017)</w:t>
      </w:r>
      <w:r>
        <w:t xml:space="preserve">, and this can be done by implementing and reporting a GRM analysis.</w:t>
      </w:r>
    </w:p>
    <w:p>
      <w:r>
        <w:br w:type="page"/>
      </w:r>
    </w:p>
    <w:bookmarkEnd w:id="44"/>
    <w:bookmarkStart w:id="177" w:name="references"/>
    <w:p>
      <w:pPr>
        <w:pStyle w:val="Heading1"/>
      </w:pPr>
      <w:r>
        <w:t xml:space="preserve">References</w:t>
      </w:r>
    </w:p>
    <w:bookmarkStart w:id="143" w:name="refs"/>
    <w:bookmarkStart w:id="46"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5">
        <w:r>
          <w:rPr>
            <w:rStyle w:val="Hyperlink"/>
          </w:rPr>
          <w:t xml:space="preserve">https://doi.org/10.1027/1614-0001.27.3.117</w:t>
        </w:r>
      </w:hyperlink>
    </w:p>
    <w:bookmarkEnd w:id="46"/>
    <w:bookmarkStart w:id="47"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7"/>
    <w:bookmarkStart w:id="48"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8"/>
    <w:bookmarkStart w:id="49"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49"/>
    <w:bookmarkStart w:id="51"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0">
        <w:r>
          <w:rPr>
            <w:rStyle w:val="Hyperlink"/>
          </w:rPr>
          <w:t xml:space="preserve">https://doi.org/10.1016/j.paid.2022.111858</w:t>
        </w:r>
      </w:hyperlink>
    </w:p>
    <w:bookmarkEnd w:id="51"/>
    <w:bookmarkStart w:id="53"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2">
        <w:r>
          <w:rPr>
            <w:rStyle w:val="Hyperlink"/>
          </w:rPr>
          <w:t xml:space="preserve">https://doi.org/10.1007/BF02293801</w:t>
        </w:r>
      </w:hyperlink>
    </w:p>
    <w:bookmarkEnd w:id="53"/>
    <w:bookmarkStart w:id="55"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4">
        <w:r>
          <w:rPr>
            <w:rStyle w:val="Hyperlink"/>
          </w:rPr>
          <w:t xml:space="preserve">https://doi.org/10.1177/014662168801200305</w:t>
        </w:r>
      </w:hyperlink>
    </w:p>
    <w:bookmarkEnd w:id="55"/>
    <w:bookmarkStart w:id="56"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56"/>
    <w:bookmarkStart w:id="58"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7">
        <w:r>
          <w:rPr>
            <w:rStyle w:val="Hyperlink"/>
          </w:rPr>
          <w:t xml:space="preserve">https://doi.org/10.18637/jss.v048.i06</w:t>
        </w:r>
      </w:hyperlink>
    </w:p>
    <w:bookmarkEnd w:id="58"/>
    <w:bookmarkStart w:id="59" w:name="X5c39e6b3e921b04d4d42899143cd5909549b1ed"/>
    <w:p>
      <w:pPr>
        <w:pStyle w:val="Bibliography"/>
      </w:pPr>
      <w:r>
        <w:t xml:space="preserve">Chalmers, R. P. (2019). Answer to "</w:t>
      </w:r>
      <w:r>
        <w:t xml:space="preserve">Difference</w:t>
      </w:r>
      <w:r>
        <w:t xml:space="preserve"> </w:t>
      </w:r>
      <w:r>
        <w:t xml:space="preserve">between empirical and marginal reliability of an</w:t>
      </w:r>
      <w:r>
        <w:t xml:space="preserve"> </w:t>
      </w:r>
      <w:r>
        <w:t xml:space="preserve">IRT</w:t>
      </w:r>
      <w:r>
        <w:t xml:space="preserve"> </w:t>
      </w:r>
      <w:r>
        <w:t xml:space="preserve">model". In</w:t>
      </w:r>
      <w:r>
        <w:t xml:space="preserve"> </w:t>
      </w:r>
      <w:r>
        <w:rPr>
          <w:iCs/>
          <w:i/>
        </w:rPr>
        <w:t xml:space="preserve">Cross Validated</w:t>
      </w:r>
      <w:r>
        <w:t xml:space="preserve">.</w:t>
      </w:r>
    </w:p>
    <w:bookmarkEnd w:id="59"/>
    <w:bookmarkStart w:id="61"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60">
        <w:r>
          <w:rPr>
            <w:rStyle w:val="Hyperlink"/>
          </w:rPr>
          <w:t xml:space="preserve">https://doi.org/10.3102/10769986022003265</w:t>
        </w:r>
      </w:hyperlink>
    </w:p>
    <w:bookmarkEnd w:id="61"/>
    <w:bookmarkStart w:id="63" w:name="ref-christensenCriticalValuesYen2017"/>
    <w:p>
      <w:pPr>
        <w:pStyle w:val="Bibliography"/>
      </w:pPr>
      <w:r>
        <w:t xml:space="preserve">Christensen, K. B., Makransky, G., &amp; Horton, M. (2017). Critical</w:t>
      </w:r>
      <w:r>
        <w:t xml:space="preserve"> </w:t>
      </w:r>
      <w:r>
        <w:t xml:space="preserve">Values</w:t>
      </w:r>
      <w:r>
        <w:t xml:space="preserve"> </w:t>
      </w:r>
      <w:r>
        <w:t xml:space="preserve">for</w:t>
      </w:r>
      <w:r>
        <w:t xml:space="preserve"> </w:t>
      </w:r>
      <w:r>
        <w:t xml:space="preserve">Yen</w:t>
      </w:r>
      <w:r>
        <w:t xml:space="preserve">’s</w:t>
      </w:r>
      <w:r>
        <w:t xml:space="preserve"> </w:t>
      </w:r>
      <w:r>
        <w:t xml:space="preserve">Q3</w:t>
      </w:r>
      <w:r>
        <w:t xml:space="preserve">:</w:t>
      </w:r>
      <w:r>
        <w:t xml:space="preserve"> </w:t>
      </w:r>
      <w:r>
        <w:t xml:space="preserve">Identification</w:t>
      </w:r>
      <w:r>
        <w:t xml:space="preserve"> </w:t>
      </w:r>
      <w:r>
        <w:t xml:space="preserve">of</w:t>
      </w:r>
      <w:r>
        <w:t xml:space="preserve"> </w:t>
      </w:r>
      <w:r>
        <w:t xml:space="preserve">Local Dependence</w:t>
      </w:r>
      <w:r>
        <w:t xml:space="preserve"> </w:t>
      </w:r>
      <w:r>
        <w:t xml:space="preserve">in the</w:t>
      </w:r>
      <w:r>
        <w:t xml:space="preserve"> </w:t>
      </w:r>
      <w:r>
        <w:t xml:space="preserve">Rasch Model Using Residual Correlations</w:t>
      </w:r>
      <w:r>
        <w:t xml:space="preserve">.</w:t>
      </w:r>
      <w:r>
        <w:t xml:space="preserve"> </w:t>
      </w:r>
      <w:r>
        <w:rPr>
          <w:iCs/>
          <w:i/>
        </w:rPr>
        <w:t xml:space="preserve">Appl Psychol Meas</w:t>
      </w:r>
      <w:r>
        <w:t xml:space="preserve">,</w:t>
      </w:r>
      <w:r>
        <w:t xml:space="preserve"> </w:t>
      </w:r>
      <w:r>
        <w:rPr>
          <w:iCs/>
          <w:i/>
        </w:rPr>
        <w:t xml:space="preserve">41</w:t>
      </w:r>
      <w:r>
        <w:t xml:space="preserve">(3), 178–194.</w:t>
      </w:r>
      <w:r>
        <w:t xml:space="preserve"> </w:t>
      </w:r>
      <w:hyperlink r:id="rId62">
        <w:r>
          <w:rPr>
            <w:rStyle w:val="Hyperlink"/>
          </w:rPr>
          <w:t xml:space="preserve">https://doi.org/10.1177/0146621616677520</w:t>
        </w:r>
      </w:hyperlink>
    </w:p>
    <w:bookmarkEnd w:id="63"/>
    <w:bookmarkStart w:id="64"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4"/>
    <w:bookmarkStart w:id="65"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5"/>
    <w:bookmarkStart w:id="67"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66">
        <w:r>
          <w:rPr>
            <w:rStyle w:val="Hyperlink"/>
          </w:rPr>
          <w:t xml:space="preserve">https://doi.org/10.1207/s15327906mbr2604_9</w:t>
        </w:r>
      </w:hyperlink>
    </w:p>
    <w:bookmarkEnd w:id="67"/>
    <w:bookmarkStart w:id="69"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8">
        <w:r>
          <w:rPr>
            <w:rStyle w:val="Hyperlink"/>
          </w:rPr>
          <w:t xml:space="preserve">https://doi.org/10.1111/pops.12022</w:t>
        </w:r>
      </w:hyperlink>
    </w:p>
    <w:bookmarkEnd w:id="69"/>
    <w:bookmarkStart w:id="71"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70">
        <w:r>
          <w:rPr>
            <w:rStyle w:val="Hyperlink"/>
          </w:rPr>
          <w:t xml:space="preserve">https://doi.org/10.1017/9781316161579.009</w:t>
        </w:r>
      </w:hyperlink>
    </w:p>
    <w:bookmarkEnd w:id="71"/>
    <w:bookmarkStart w:id="73"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72">
        <w:r>
          <w:rPr>
            <w:rStyle w:val="Hyperlink"/>
          </w:rPr>
          <w:t xml:space="preserve">https://doi.org/10.1038/s44271-023-00026-9</w:t>
        </w:r>
      </w:hyperlink>
    </w:p>
    <w:bookmarkEnd w:id="73"/>
    <w:bookmarkStart w:id="74"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74"/>
    <w:bookmarkStart w:id="76"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75">
        <w:r>
          <w:rPr>
            <w:rStyle w:val="Hyperlink"/>
          </w:rPr>
          <w:t xml:space="preserve">https://doi.org/gj2hw7</w:t>
        </w:r>
      </w:hyperlink>
    </w:p>
    <w:bookmarkEnd w:id="76"/>
    <w:bookmarkStart w:id="78"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77">
        <w:r>
          <w:rPr>
            <w:rStyle w:val="Hyperlink"/>
          </w:rPr>
          <w:t xml:space="preserve">https://doi.org/10.1177/2515245920952393</w:t>
        </w:r>
      </w:hyperlink>
    </w:p>
    <w:bookmarkEnd w:id="78"/>
    <w:bookmarkStart w:id="80"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79">
        <w:r>
          <w:rPr>
            <w:rStyle w:val="Hyperlink"/>
          </w:rPr>
          <w:t xml:space="preserve">https://doi.org/10.1177/1948550617693063</w:t>
        </w:r>
      </w:hyperlink>
    </w:p>
    <w:bookmarkEnd w:id="80"/>
    <w:bookmarkStart w:id="82"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81">
        <w:r>
          <w:rPr>
            <w:rStyle w:val="Hyperlink"/>
          </w:rPr>
          <w:t xml:space="preserve">https://doi.org/10.1037/cbs0000069</w:t>
        </w:r>
      </w:hyperlink>
    </w:p>
    <w:bookmarkEnd w:id="82"/>
    <w:bookmarkStart w:id="84"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83">
        <w:r>
          <w:rPr>
            <w:rStyle w:val="Hyperlink"/>
          </w:rPr>
          <w:t xml:space="preserve">https://doi.org/10.1177/00131644221111838</w:t>
        </w:r>
      </w:hyperlink>
    </w:p>
    <w:bookmarkEnd w:id="84"/>
    <w:bookmarkStart w:id="86"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85">
        <w:r>
          <w:rPr>
            <w:rStyle w:val="Hyperlink"/>
          </w:rPr>
          <w:t xml:space="preserve">https://doi.org/10.1177/014662168601000307</w:t>
        </w:r>
      </w:hyperlink>
    </w:p>
    <w:bookmarkEnd w:id="86"/>
    <w:bookmarkStart w:id="87"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87"/>
    <w:bookmarkStart w:id="89"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88">
        <w:r>
          <w:rPr>
            <w:rStyle w:val="Hyperlink"/>
          </w:rPr>
          <w:t xml:space="preserve">https://doi.org/10.1007/BF02289468</w:t>
        </w:r>
      </w:hyperlink>
    </w:p>
    <w:bookmarkEnd w:id="89"/>
    <w:bookmarkStart w:id="91"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90">
        <w:r>
          <w:rPr>
            <w:rStyle w:val="Hyperlink"/>
          </w:rPr>
          <w:t xml:space="preserve">https://doi.org/10.1177/2515245919882903</w:t>
        </w:r>
      </w:hyperlink>
    </w:p>
    <w:bookmarkEnd w:id="91"/>
    <w:bookmarkStart w:id="93"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92">
        <w:r>
          <w:rPr>
            <w:rStyle w:val="Hyperlink"/>
          </w:rPr>
          <w:t xml:space="preserve">https://doi.org/10.1111/jedm.12000</w:t>
        </w:r>
      </w:hyperlink>
    </w:p>
    <w:bookmarkEnd w:id="93"/>
    <w:bookmarkStart w:id="95"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94">
        <w:r>
          <w:rPr>
            <w:rStyle w:val="Hyperlink"/>
          </w:rPr>
          <w:t xml:space="preserve">https://doi.org/10.1080/0969594X.2016.1156645</w:t>
        </w:r>
      </w:hyperlink>
    </w:p>
    <w:bookmarkEnd w:id="95"/>
    <w:bookmarkStart w:id="96"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96"/>
    <w:bookmarkStart w:id="98"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97">
        <w:r>
          <w:rPr>
            <w:rStyle w:val="Hyperlink"/>
          </w:rPr>
          <w:t xml:space="preserve">https://doi.org/10.1146/annurev-orgpsych-012420-061705</w:t>
        </w:r>
      </w:hyperlink>
    </w:p>
    <w:bookmarkEnd w:id="98"/>
    <w:bookmarkStart w:id="100"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99">
        <w:r>
          <w:rPr>
            <w:rStyle w:val="Hyperlink"/>
          </w:rPr>
          <w:t xml:space="preserve">https://doi.org/10.1037/cap0000236</w:t>
        </w:r>
      </w:hyperlink>
    </w:p>
    <w:bookmarkEnd w:id="100"/>
    <w:bookmarkStart w:id="101" w:name="ref-masurGgmirt2023"/>
    <w:p>
      <w:pPr>
        <w:pStyle w:val="Bibliography"/>
      </w:pPr>
      <w:r>
        <w:t xml:space="preserve">Masur, P. K. (2023).</w:t>
      </w:r>
      <w:r>
        <w:t xml:space="preserve"> </w:t>
      </w:r>
      <w:r>
        <w:rPr>
          <w:iCs/>
          <w:i/>
        </w:rPr>
        <w:t xml:space="preserve">Ggmirt</w:t>
      </w:r>
      <w:r>
        <w:t xml:space="preserve">.</w:t>
      </w:r>
    </w:p>
    <w:bookmarkEnd w:id="101"/>
    <w:bookmarkStart w:id="103"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102">
        <w:r>
          <w:rPr>
            <w:rStyle w:val="Hyperlink"/>
          </w:rPr>
          <w:t xml:space="preserve">https://doi.org/10.1007/s11336-005-1295-9</w:t>
        </w:r>
      </w:hyperlink>
    </w:p>
    <w:bookmarkEnd w:id="103"/>
    <w:bookmarkStart w:id="105"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104">
        <w:r>
          <w:rPr>
            <w:rStyle w:val="Hyperlink"/>
          </w:rPr>
          <w:t xml:space="preserve">https://doi.org/10.1037/met0000144</w:t>
        </w:r>
      </w:hyperlink>
    </w:p>
    <w:bookmarkEnd w:id="105"/>
    <w:bookmarkStart w:id="106"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06"/>
    <w:bookmarkStart w:id="108"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07">
        <w:r>
          <w:rPr>
            <w:rStyle w:val="Hyperlink"/>
          </w:rPr>
          <w:t xml:space="preserve">https://doi.org/10.1177/014662169201600206</w:t>
        </w:r>
      </w:hyperlink>
    </w:p>
    <w:bookmarkEnd w:id="108"/>
    <w:bookmarkStart w:id="109"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09"/>
    <w:bookmarkStart w:id="111"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10">
        <w:r>
          <w:rPr>
            <w:rStyle w:val="Hyperlink"/>
          </w:rPr>
          <w:t xml:space="preserve">https://doi.org/10.1038/s44159-023-00161-4</w:t>
        </w:r>
      </w:hyperlink>
    </w:p>
    <w:bookmarkEnd w:id="111"/>
    <w:bookmarkStart w:id="112"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12"/>
    <w:bookmarkStart w:id="114"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13">
        <w:r>
          <w:rPr>
            <w:rStyle w:val="Hyperlink"/>
          </w:rPr>
          <w:t xml:space="preserve">https://doi.org/10.1163/24689300-01401006</w:t>
        </w:r>
      </w:hyperlink>
    </w:p>
    <w:bookmarkEnd w:id="114"/>
    <w:bookmarkStart w:id="115"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15"/>
    <w:bookmarkStart w:id="116" w:name="X3df0b348f80d9bf4e12f708b20f66c81afe6902"/>
    <w:p>
      <w:pPr>
        <w:pStyle w:val="Bibliography"/>
      </w:pPr>
      <w:r>
        <w:t xml:space="preserve">Revelle, W. (2023).</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6"/>
    <w:bookmarkStart w:id="118"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17">
        <w:r>
          <w:rPr>
            <w:rStyle w:val="Hyperlink"/>
          </w:rPr>
          <w:t xml:space="preserve">https://doi.org/10.1186/s40536-016-0019-1</w:t>
        </w:r>
      </w:hyperlink>
    </w:p>
    <w:bookmarkEnd w:id="118"/>
    <w:bookmarkStart w:id="120"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19">
        <w:r>
          <w:rPr>
            <w:rStyle w:val="Hyperlink"/>
          </w:rPr>
          <w:t xml:space="preserve">https://doi.org/10.1007/978-1-4757-2691-6_5</w:t>
        </w:r>
      </w:hyperlink>
    </w:p>
    <w:bookmarkEnd w:id="120"/>
    <w:bookmarkStart w:id="121"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21"/>
    <w:bookmarkStart w:id="122"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22"/>
    <w:bookmarkStart w:id="124"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23">
        <w:r>
          <w:rPr>
            <w:rStyle w:val="Hyperlink"/>
          </w:rPr>
          <w:t xml:space="preserve">https://doi.org/10.1007/978-3-319-28099-8_1262-1</w:t>
        </w:r>
      </w:hyperlink>
    </w:p>
    <w:bookmarkEnd w:id="124"/>
    <w:bookmarkStart w:id="125"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25"/>
    <w:bookmarkStart w:id="127"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26">
        <w:r>
          <w:rPr>
            <w:rStyle w:val="Hyperlink"/>
          </w:rPr>
          <w:t xml:space="preserve">https://doi.org/10.1016/j.jrp.2012.08.002</w:t>
        </w:r>
      </w:hyperlink>
    </w:p>
    <w:bookmarkEnd w:id="127"/>
    <w:bookmarkStart w:id="129"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28">
        <w:r>
          <w:rPr>
            <w:rStyle w:val="Hyperlink"/>
          </w:rPr>
          <w:t xml:space="preserve">https://doi.org/10.1007/s11336-008-9101-0</w:t>
        </w:r>
      </w:hyperlink>
    </w:p>
    <w:bookmarkEnd w:id="129"/>
    <w:bookmarkStart w:id="131"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30">
        <w:r>
          <w:rPr>
            <w:rStyle w:val="Hyperlink"/>
          </w:rPr>
          <w:t xml:space="preserve">https://doi.org/10.7275/v2gd-4441</w:t>
        </w:r>
      </w:hyperlink>
    </w:p>
    <w:bookmarkEnd w:id="131"/>
    <w:bookmarkStart w:id="133"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32">
        <w:r>
          <w:rPr>
            <w:rStyle w:val="Hyperlink"/>
          </w:rPr>
          <w:t xml:space="preserve">https://doi.org/10.4324/9780203861264.ch3</w:t>
        </w:r>
      </w:hyperlink>
    </w:p>
    <w:bookmarkEnd w:id="133"/>
    <w:bookmarkStart w:id="135"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4">
        <w:r>
          <w:rPr>
            <w:rStyle w:val="Hyperlink"/>
          </w:rPr>
          <w:t xml:space="preserve">https://doi.org/10.21105/joss.01686</w:t>
        </w:r>
      </w:hyperlink>
    </w:p>
    <w:bookmarkEnd w:id="135"/>
    <w:bookmarkStart w:id="136"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36"/>
    <w:bookmarkStart w:id="138" w:name="ref-yenEffectsLocalItem1984"/>
    <w:p>
      <w:pPr>
        <w:pStyle w:val="Bibliography"/>
      </w:pPr>
      <w:r>
        <w:t xml:space="preserve">Yen, W. M. (1984). Effects of</w:t>
      </w:r>
      <w:r>
        <w:t xml:space="preserve"> </w:t>
      </w:r>
      <w:r>
        <w:t xml:space="preserve">Local Item Dependence</w:t>
      </w:r>
      <w:r>
        <w:t xml:space="preserve"> </w:t>
      </w:r>
      <w:r>
        <w:t xml:space="preserve">on the</w:t>
      </w:r>
      <w:r>
        <w:t xml:space="preserve"> </w:t>
      </w:r>
      <w:r>
        <w:t xml:space="preserve">Fit</w:t>
      </w:r>
      <w:r>
        <w:t xml:space="preserve"> </w:t>
      </w:r>
      <w:r>
        <w:t xml:space="preserve">and</w:t>
      </w:r>
      <w:r>
        <w:t xml:space="preserve"> </w:t>
      </w:r>
      <w:r>
        <w:t xml:space="preserve">Equating Performance</w:t>
      </w:r>
      <w:r>
        <w:t xml:space="preserve"> </w:t>
      </w:r>
      <w:r>
        <w:t xml:space="preserve">of the</w:t>
      </w:r>
      <w:r>
        <w:t xml:space="preserve"> </w:t>
      </w:r>
      <w:r>
        <w:t xml:space="preserve">Three-Parameter Logistic Model</w:t>
      </w:r>
      <w:r>
        <w:t xml:space="preserve">.</w:t>
      </w:r>
      <w:r>
        <w:t xml:space="preserve"> </w:t>
      </w:r>
      <w:r>
        <w:rPr>
          <w:iCs/>
          <w:i/>
        </w:rPr>
        <w:t xml:space="preserve">Applied Psychological Measurement</w:t>
      </w:r>
      <w:r>
        <w:t xml:space="preserve">,</w:t>
      </w:r>
      <w:r>
        <w:t xml:space="preserve"> </w:t>
      </w:r>
      <w:r>
        <w:rPr>
          <w:iCs/>
          <w:i/>
        </w:rPr>
        <w:t xml:space="preserve">8</w:t>
      </w:r>
      <w:r>
        <w:t xml:space="preserve">(2), 125–145.</w:t>
      </w:r>
      <w:r>
        <w:t xml:space="preserve"> </w:t>
      </w:r>
      <w:hyperlink r:id="rId137">
        <w:r>
          <w:rPr>
            <w:rStyle w:val="Hyperlink"/>
          </w:rPr>
          <w:t xml:space="preserve">https://doi.org/10.1177/014662168400800201</w:t>
        </w:r>
      </w:hyperlink>
    </w:p>
    <w:bookmarkEnd w:id="138"/>
    <w:bookmarkStart w:id="140"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39">
        <w:r>
          <w:rPr>
            <w:rStyle w:val="Hyperlink"/>
          </w:rPr>
          <w:t xml:space="preserve">https://doi.org/10.1016/S0169-7161(06)26003-6</w:t>
        </w:r>
      </w:hyperlink>
    </w:p>
    <w:bookmarkEnd w:id="140"/>
    <w:bookmarkStart w:id="142"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41">
        <w:r>
          <w:rPr>
            <w:rStyle w:val="Hyperlink"/>
          </w:rPr>
          <w:t xml:space="preserve">https://doi.org/10.1007/978-3-319-07794-9</w:t>
        </w:r>
      </w:hyperlink>
    </w:p>
    <w:bookmarkEnd w:id="142"/>
    <w:bookmarkEnd w:id="143"/>
    <w:p>
      <w:r>
        <w:br w:type="page"/>
      </w:r>
    </w:p>
    <w:bookmarkStart w:id="144" w:name="apatb-table1"/>
    <w:p>
      <w:pPr>
        <w:pStyle w:val="FigureTitle"/>
      </w:pPr>
      <w:r>
        <w:t xml:space="preserve">Table 1</w:t>
      </w:r>
    </w:p>
    <w:bookmarkEnd w:id="144"/>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45" w:name="apafg-fig1"/>
    <w:p>
      <w:pPr>
        <w:pStyle w:val="FigureTitle"/>
      </w:pPr>
      <w:r>
        <w:t xml:space="preserve">Figure 1</w:t>
      </w:r>
    </w:p>
    <w:bookmarkEnd w:id="145"/>
    <w:p>
      <w:pPr>
        <w:pStyle w:val="Caption"/>
      </w:pPr>
      <w:r>
        <w:t xml:space="preserve">An Item Probability Function from a GRM Model</w:t>
      </w:r>
    </w:p>
    <w:p>
      <w:pPr>
        <w:pStyle w:val="FigureWithoutNote"/>
      </w:pPr>
      <w:r>
        <w:drawing>
          <wp:inline>
            <wp:extent cx="5943600" cy="3606755"/>
            <wp:effectExtent b="0" l="0" r="0" t="0"/>
            <wp:docPr descr="" title="" id="147" name="Picture"/>
            <a:graphic>
              <a:graphicData uri="http://schemas.openxmlformats.org/drawingml/2006/picture">
                <pic:pic>
                  <pic:nvPicPr>
                    <pic:cNvPr descr="CPF%20example.png" id="148" name="Picture"/>
                    <pic:cNvPicPr>
                      <a:picLocks noChangeArrowheads="1" noChangeAspect="1"/>
                    </pic:cNvPicPr>
                  </pic:nvPicPr>
                  <pic:blipFill>
                    <a:blip r:embed="rId146"/>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49" w:name="apatb-table2"/>
    <w:p>
      <w:pPr>
        <w:pStyle w:val="FigureTitle"/>
      </w:pPr>
      <w:r>
        <w:t xml:space="preserve">Table 2</w:t>
      </w:r>
    </w:p>
    <w:bookmarkEnd w:id="149"/>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50" w:name="apatb-table3"/>
    <w:p>
      <w:pPr>
        <w:pStyle w:val="FigureTitle"/>
      </w:pPr>
      <w:r>
        <w:t xml:space="preserve">Table 3</w:t>
      </w:r>
    </w:p>
    <w:bookmarkEnd w:id="150"/>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51" w:name="apafg-fig2"/>
    <w:p>
      <w:pPr>
        <w:pStyle w:val="FigureTitle"/>
      </w:pPr>
      <w:r>
        <w:t xml:space="preserve">Figure 2</w:t>
      </w:r>
    </w:p>
    <w:bookmarkEnd w:id="151"/>
    <w:p>
      <w:pPr>
        <w:pStyle w:val="Caption"/>
      </w:pPr>
      <w:r>
        <w:t xml:space="preserve">Scree Plot</w:t>
      </w:r>
    </w:p>
    <w:p>
      <w:pPr>
        <w:pStyle w:val="FigureWithoutNote"/>
      </w:pPr>
      <w:r>
        <w:drawing>
          <wp:inline>
            <wp:extent cx="5943600" cy="5943600"/>
            <wp:effectExtent b="0" l="0" r="0" t="0"/>
            <wp:docPr descr="" title="" id="153" name="Picture"/>
            <a:graphic>
              <a:graphicData uri="http://schemas.openxmlformats.org/drawingml/2006/picture">
                <pic:pic>
                  <pic:nvPicPr>
                    <pic:cNvPr descr="draft_paper_files/figure-docx/apafg-fig2-1.png" id="154" name="Picture"/>
                    <pic:cNvPicPr>
                      <a:picLocks noChangeArrowheads="1" noChangeAspect="1"/>
                    </pic:cNvPicPr>
                  </pic:nvPicPr>
                  <pic:blipFill>
                    <a:blip r:embed="rId15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5" w:name="apafg-fig3"/>
    <w:p>
      <w:pPr>
        <w:pStyle w:val="FigureTitle"/>
      </w:pPr>
      <w:r>
        <w:t xml:space="preserve">Figure 3</w:t>
      </w:r>
    </w:p>
    <w:bookmarkEnd w:id="155"/>
    <w:p>
      <w:pPr>
        <w:pStyle w:val="Caption"/>
      </w:pPr>
      <w:r>
        <w:t xml:space="preserve">Parallel Analysis</w:t>
      </w:r>
    </w:p>
    <w:p>
      <w:pPr>
        <w:pStyle w:val="FigureWithoutNote"/>
      </w:pPr>
      <w:r>
        <w:drawing>
          <wp:inline>
            <wp:extent cx="5943600" cy="5943600"/>
            <wp:effectExtent b="0" l="0" r="0" t="0"/>
            <wp:docPr descr="" title="" id="157" name="Picture"/>
            <a:graphic>
              <a:graphicData uri="http://schemas.openxmlformats.org/drawingml/2006/picture">
                <pic:pic>
                  <pic:nvPicPr>
                    <pic:cNvPr descr="draft_paper_files/figure-docx/apafg-fig3-1.png" id="158" name="Picture"/>
                    <pic:cNvPicPr>
                      <a:picLocks noChangeArrowheads="1" noChangeAspect="1"/>
                    </pic:cNvPicPr>
                  </pic:nvPicPr>
                  <pic:blipFill>
                    <a:blip r:embed="rId15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9" w:name="apatb-table4"/>
    <w:p>
      <w:pPr>
        <w:pStyle w:val="FigureTitle"/>
      </w:pPr>
      <w:r>
        <w:t xml:space="preserve">Table 4</w:t>
      </w:r>
    </w:p>
    <w:bookmarkEnd w:id="159"/>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bookmarkStart w:id="160" w:name="apatb-table5"/>
    <w:p>
      <w:pPr>
        <w:pStyle w:val="FigureTitle"/>
      </w:pPr>
      <w:r>
        <w:t xml:space="preserve">Table 5</w:t>
      </w:r>
    </w:p>
    <w:bookmarkEnd w:id="160"/>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61" w:name="apafg-fig4"/>
    <w:p>
      <w:pPr>
        <w:pStyle w:val="FigureTitle"/>
      </w:pPr>
      <w:r>
        <w:t xml:space="preserve">Figure 4</w:t>
      </w:r>
    </w:p>
    <w:bookmarkEnd w:id="161"/>
    <w:p>
      <w:pPr>
        <w:pStyle w:val="Caption"/>
      </w:pPr>
      <w:r>
        <w:t xml:space="preserve">Item Probability Functions of RWA Scale</w:t>
      </w:r>
    </w:p>
    <w:p>
      <w:pPr>
        <w:pStyle w:val="FigureWithoutNote"/>
      </w:pPr>
      <w:r>
        <w:drawing>
          <wp:inline>
            <wp:extent cx="5943600" cy="5943600"/>
            <wp:effectExtent b="0" l="0" r="0" t="0"/>
            <wp:docPr descr="" title="" id="163" name="Picture"/>
            <a:graphic>
              <a:graphicData uri="http://schemas.openxmlformats.org/drawingml/2006/picture">
                <pic:pic>
                  <pic:nvPicPr>
                    <pic:cNvPr descr="draft_paper_files/figure-docx/apafg-fig4-1.png" id="164" name="Picture"/>
                    <pic:cNvPicPr>
                      <a:picLocks noChangeArrowheads="1" noChangeAspect="1"/>
                    </pic:cNvPicPr>
                  </pic:nvPicPr>
                  <pic:blipFill>
                    <a:blip r:embed="rId16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5" w:name="apafg-fig5"/>
    <w:p>
      <w:pPr>
        <w:pStyle w:val="FigureTitle"/>
      </w:pPr>
      <w:r>
        <w:t xml:space="preserve">Figure 5</w:t>
      </w:r>
    </w:p>
    <w:bookmarkEnd w:id="165"/>
    <w:p>
      <w:pPr>
        <w:pStyle w:val="Caption"/>
      </w:pPr>
      <w:r>
        <w:t xml:space="preserve">Item Information Curves of the RWA Scale</w:t>
      </w:r>
    </w:p>
    <w:p>
      <w:pPr>
        <w:pStyle w:val="FigureWithoutNote"/>
      </w:pPr>
      <w:r>
        <w:drawing>
          <wp:inline>
            <wp:extent cx="5943600" cy="5943600"/>
            <wp:effectExtent b="0" l="0" r="0" t="0"/>
            <wp:docPr descr="" title="" id="167" name="Picture"/>
            <a:graphic>
              <a:graphicData uri="http://schemas.openxmlformats.org/drawingml/2006/picture">
                <pic:pic>
                  <pic:nvPicPr>
                    <pic:cNvPr descr="draft_paper_files/figure-docx/apafg-fig5-1.png" id="168" name="Picture"/>
                    <pic:cNvPicPr>
                      <a:picLocks noChangeArrowheads="1" noChangeAspect="1"/>
                    </pic:cNvPicPr>
                  </pic:nvPicPr>
                  <pic:blipFill>
                    <a:blip r:embed="rId16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9" w:name="apafg-fig6"/>
    <w:p>
      <w:pPr>
        <w:pStyle w:val="FigureTitle"/>
      </w:pPr>
      <w:r>
        <w:t xml:space="preserve">Figure 6</w:t>
      </w:r>
    </w:p>
    <w:bookmarkEnd w:id="169"/>
    <w:p>
      <w:pPr>
        <w:pStyle w:val="Caption"/>
      </w:pPr>
      <w:r>
        <w:t xml:space="preserve">Test Information Curve of the RWA Scale</w:t>
      </w:r>
    </w:p>
    <w:p>
      <w:pPr>
        <w:pStyle w:val="FigureWithoutNote"/>
      </w:pPr>
      <w:r>
        <w:drawing>
          <wp:inline>
            <wp:extent cx="5943600" cy="5943600"/>
            <wp:effectExtent b="0" l="0" r="0" t="0"/>
            <wp:docPr descr="" title="" id="171" name="Picture"/>
            <a:graphic>
              <a:graphicData uri="http://schemas.openxmlformats.org/drawingml/2006/picture">
                <pic:pic>
                  <pic:nvPicPr>
                    <pic:cNvPr descr="draft_paper_files/figure-docx/apafg-fig6-1.png" id="172" name="Picture"/>
                    <pic:cNvPicPr>
                      <a:picLocks noChangeArrowheads="1" noChangeAspect="1"/>
                    </pic:cNvPicPr>
                  </pic:nvPicPr>
                  <pic:blipFill>
                    <a:blip r:embed="rId170"/>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73" w:name="apafg-fig7"/>
    <w:p>
      <w:pPr>
        <w:pStyle w:val="FigureTitle"/>
      </w:pPr>
      <w:r>
        <w:t xml:space="preserve">Figure 7</w:t>
      </w:r>
    </w:p>
    <w:bookmarkEnd w:id="173"/>
    <w:p>
      <w:pPr>
        <w:pStyle w:val="Caption"/>
      </w:pPr>
      <w:r>
        <w:t xml:space="preserve">Reliability of the RWA Scale Given to the θ Level</w:t>
      </w:r>
    </w:p>
    <w:p>
      <w:pPr>
        <w:pStyle w:val="FigureWithoutNote"/>
      </w:pPr>
      <w:r>
        <w:drawing>
          <wp:inline>
            <wp:extent cx="5943600" cy="5943600"/>
            <wp:effectExtent b="0" l="0" r="0" t="0"/>
            <wp:docPr descr="" title="" id="175" name="Picture"/>
            <a:graphic>
              <a:graphicData uri="http://schemas.openxmlformats.org/drawingml/2006/picture">
                <pic:pic>
                  <pic:nvPicPr>
                    <pic:cNvPr descr="draft_paper_files/figure-docx/apafg-fig7-1.png" id="176" name="Picture"/>
                    <pic:cNvPicPr>
                      <a:picLocks noChangeArrowheads="1" noChangeAspect="1"/>
                    </pic:cNvPicPr>
                  </pic:nvPicPr>
                  <pic:blipFill>
                    <a:blip r:embed="rId174"/>
                    <a:stretch>
                      <a:fillRect/>
                    </a:stretch>
                  </pic:blipFill>
                  <pic:spPr bwMode="auto">
                    <a:xfrm>
                      <a:off x="0" y="0"/>
                      <a:ext cx="5943600" cy="5943600"/>
                    </a:xfrm>
                    <a:prstGeom prst="rect">
                      <a:avLst/>
                    </a:prstGeom>
                    <a:noFill/>
                    <a:ln w="9525">
                      <a:noFill/>
                      <a:headEnd/>
                      <a:tailEnd/>
                    </a:ln>
                  </pic:spPr>
                </pic:pic>
              </a:graphicData>
            </a:graphic>
          </wp:inline>
        </w:drawing>
      </w:r>
    </w:p>
    <w:bookmarkEnd w:id="177"/>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46" Target="media/rId146.png" /><Relationship Type="http://schemas.openxmlformats.org/officeDocument/2006/relationships/image" Id="rId21" Target="media/rId21.svgz"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hyperlink" Id="rId35" Target="http://openpsychometrics.org/_rawdata/" TargetMode="External" /><Relationship Type="http://schemas.openxmlformats.org/officeDocument/2006/relationships/hyperlink" Id="rId119" Target="https://doi.org/10.1007/978-1-4757-2691-6_5" TargetMode="External" /><Relationship Type="http://schemas.openxmlformats.org/officeDocument/2006/relationships/hyperlink" Id="rId141" Target="https://doi.org/10.1007/978-3-319-07794-9" TargetMode="External" /><Relationship Type="http://schemas.openxmlformats.org/officeDocument/2006/relationships/hyperlink" Id="rId123" Target="https://doi.org/10.1007/978-3-319-28099-8_1262-1" TargetMode="External" /><Relationship Type="http://schemas.openxmlformats.org/officeDocument/2006/relationships/hyperlink" Id="rId88"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02" Target="https://doi.org/10.1007/s11336-005-1295-9" TargetMode="External" /><Relationship Type="http://schemas.openxmlformats.org/officeDocument/2006/relationships/hyperlink" Id="rId128" Target="https://doi.org/10.1007/s11336-008-9101-0" TargetMode="External" /><Relationship Type="http://schemas.openxmlformats.org/officeDocument/2006/relationships/hyperlink" Id="rId139" Target="https://doi.org/10.1016/S0169-7161(06)26003-6" TargetMode="External" /><Relationship Type="http://schemas.openxmlformats.org/officeDocument/2006/relationships/hyperlink" Id="rId126"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70"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9" Target="https://doi.org/10.1037/cap0000236" TargetMode="External" /><Relationship Type="http://schemas.openxmlformats.org/officeDocument/2006/relationships/hyperlink" Id="rId81" Target="https://doi.org/10.1037/cbs0000069" TargetMode="External" /><Relationship Type="http://schemas.openxmlformats.org/officeDocument/2006/relationships/hyperlink" Id="rId104" Target="https://doi.org/10.1037/met0000144" TargetMode="External" /><Relationship Type="http://schemas.openxmlformats.org/officeDocument/2006/relationships/hyperlink" Id="rId110" Target="https://doi.org/10.1038/s44159-023-00161-4" TargetMode="External" /><Relationship Type="http://schemas.openxmlformats.org/officeDocument/2006/relationships/hyperlink" Id="rId72" Target="https://doi.org/10.1038/s44271-023-00026-9" TargetMode="External" /><Relationship Type="http://schemas.openxmlformats.org/officeDocument/2006/relationships/hyperlink" Id="rId94" Target="https://doi.org/10.1080/0969594X.2016.1156645" TargetMode="External" /><Relationship Type="http://schemas.openxmlformats.org/officeDocument/2006/relationships/hyperlink" Id="rId92" Target="https://doi.org/10.1111/jedm.12000" TargetMode="External" /><Relationship Type="http://schemas.openxmlformats.org/officeDocument/2006/relationships/hyperlink" Id="rId68" Target="https://doi.org/10.1111/pops.12022" TargetMode="External" /><Relationship Type="http://schemas.openxmlformats.org/officeDocument/2006/relationships/hyperlink" Id="rId97" Target="https://doi.org/10.1146/annurev-orgpsych-012420-061705" TargetMode="External" /><Relationship Type="http://schemas.openxmlformats.org/officeDocument/2006/relationships/hyperlink" Id="rId113" Target="https://doi.org/10.1163/24689300-01401006" TargetMode="External" /><Relationship Type="http://schemas.openxmlformats.org/officeDocument/2006/relationships/hyperlink" Id="rId83" Target="https://doi.org/10.1177/00131644221111838" TargetMode="External" /><Relationship Type="http://schemas.openxmlformats.org/officeDocument/2006/relationships/hyperlink" Id="rId62" Target="https://doi.org/10.1177/0146621616677520" TargetMode="External" /><Relationship Type="http://schemas.openxmlformats.org/officeDocument/2006/relationships/hyperlink" Id="rId137" Target="https://doi.org/10.1177/014662168400800201" TargetMode="External" /><Relationship Type="http://schemas.openxmlformats.org/officeDocument/2006/relationships/hyperlink" Id="rId85"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7" Target="https://doi.org/10.1177/014662169201600206" TargetMode="External" /><Relationship Type="http://schemas.openxmlformats.org/officeDocument/2006/relationships/hyperlink" Id="rId79" Target="https://doi.org/10.1177/1948550617693063" TargetMode="External" /><Relationship Type="http://schemas.openxmlformats.org/officeDocument/2006/relationships/hyperlink" Id="rId90" Target="https://doi.org/10.1177/2515245919882903" TargetMode="External" /><Relationship Type="http://schemas.openxmlformats.org/officeDocument/2006/relationships/hyperlink" Id="rId77" Target="https://doi.org/10.1177/2515245920952393" TargetMode="External" /><Relationship Type="http://schemas.openxmlformats.org/officeDocument/2006/relationships/hyperlink" Id="rId117" Target="https://doi.org/10.1186/s40536-016-0019-1" TargetMode="External" /><Relationship Type="http://schemas.openxmlformats.org/officeDocument/2006/relationships/hyperlink" Id="rId66"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4" Target="https://doi.org/10.21105/joss.01686" TargetMode="External" /><Relationship Type="http://schemas.openxmlformats.org/officeDocument/2006/relationships/hyperlink" Id="rId60" Target="https://doi.org/10.3102/10769986022003265" TargetMode="External" /><Relationship Type="http://schemas.openxmlformats.org/officeDocument/2006/relationships/hyperlink" Id="rId132" Target="https://doi.org/10.4324/9780203861264.ch3" TargetMode="External" /><Relationship Type="http://schemas.openxmlformats.org/officeDocument/2006/relationships/hyperlink" Id="rId130" Target="https://doi.org/10.7275/v2gd-4441" TargetMode="External" /><Relationship Type="http://schemas.openxmlformats.org/officeDocument/2006/relationships/hyperlink" Id="rId75"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19" Target="https://doi.org/10.1007/978-1-4757-2691-6_5" TargetMode="External" /><Relationship Type="http://schemas.openxmlformats.org/officeDocument/2006/relationships/hyperlink" Id="rId141" Target="https://doi.org/10.1007/978-3-319-07794-9" TargetMode="External" /><Relationship Type="http://schemas.openxmlformats.org/officeDocument/2006/relationships/hyperlink" Id="rId123" Target="https://doi.org/10.1007/978-3-319-28099-8_1262-1" TargetMode="External" /><Relationship Type="http://schemas.openxmlformats.org/officeDocument/2006/relationships/hyperlink" Id="rId88"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02" Target="https://doi.org/10.1007/s11336-005-1295-9" TargetMode="External" /><Relationship Type="http://schemas.openxmlformats.org/officeDocument/2006/relationships/hyperlink" Id="rId128" Target="https://doi.org/10.1007/s11336-008-9101-0" TargetMode="External" /><Relationship Type="http://schemas.openxmlformats.org/officeDocument/2006/relationships/hyperlink" Id="rId139" Target="https://doi.org/10.1016/S0169-7161(06)26003-6" TargetMode="External" /><Relationship Type="http://schemas.openxmlformats.org/officeDocument/2006/relationships/hyperlink" Id="rId126"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70"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9" Target="https://doi.org/10.1037/cap0000236" TargetMode="External" /><Relationship Type="http://schemas.openxmlformats.org/officeDocument/2006/relationships/hyperlink" Id="rId81" Target="https://doi.org/10.1037/cbs0000069" TargetMode="External" /><Relationship Type="http://schemas.openxmlformats.org/officeDocument/2006/relationships/hyperlink" Id="rId104" Target="https://doi.org/10.1037/met0000144" TargetMode="External" /><Relationship Type="http://schemas.openxmlformats.org/officeDocument/2006/relationships/hyperlink" Id="rId110" Target="https://doi.org/10.1038/s44159-023-00161-4" TargetMode="External" /><Relationship Type="http://schemas.openxmlformats.org/officeDocument/2006/relationships/hyperlink" Id="rId72" Target="https://doi.org/10.1038/s44271-023-00026-9" TargetMode="External" /><Relationship Type="http://schemas.openxmlformats.org/officeDocument/2006/relationships/hyperlink" Id="rId94" Target="https://doi.org/10.1080/0969594X.2016.1156645" TargetMode="External" /><Relationship Type="http://schemas.openxmlformats.org/officeDocument/2006/relationships/hyperlink" Id="rId92" Target="https://doi.org/10.1111/jedm.12000" TargetMode="External" /><Relationship Type="http://schemas.openxmlformats.org/officeDocument/2006/relationships/hyperlink" Id="rId68" Target="https://doi.org/10.1111/pops.12022" TargetMode="External" /><Relationship Type="http://schemas.openxmlformats.org/officeDocument/2006/relationships/hyperlink" Id="rId97" Target="https://doi.org/10.1146/annurev-orgpsych-012420-061705" TargetMode="External" /><Relationship Type="http://schemas.openxmlformats.org/officeDocument/2006/relationships/hyperlink" Id="rId113" Target="https://doi.org/10.1163/24689300-01401006" TargetMode="External" /><Relationship Type="http://schemas.openxmlformats.org/officeDocument/2006/relationships/hyperlink" Id="rId83" Target="https://doi.org/10.1177/00131644221111838" TargetMode="External" /><Relationship Type="http://schemas.openxmlformats.org/officeDocument/2006/relationships/hyperlink" Id="rId62" Target="https://doi.org/10.1177/0146621616677520" TargetMode="External" /><Relationship Type="http://schemas.openxmlformats.org/officeDocument/2006/relationships/hyperlink" Id="rId137" Target="https://doi.org/10.1177/014662168400800201" TargetMode="External" /><Relationship Type="http://schemas.openxmlformats.org/officeDocument/2006/relationships/hyperlink" Id="rId85"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7" Target="https://doi.org/10.1177/014662169201600206" TargetMode="External" /><Relationship Type="http://schemas.openxmlformats.org/officeDocument/2006/relationships/hyperlink" Id="rId79" Target="https://doi.org/10.1177/1948550617693063" TargetMode="External" /><Relationship Type="http://schemas.openxmlformats.org/officeDocument/2006/relationships/hyperlink" Id="rId90" Target="https://doi.org/10.1177/2515245919882903" TargetMode="External" /><Relationship Type="http://schemas.openxmlformats.org/officeDocument/2006/relationships/hyperlink" Id="rId77" Target="https://doi.org/10.1177/2515245920952393" TargetMode="External" /><Relationship Type="http://schemas.openxmlformats.org/officeDocument/2006/relationships/hyperlink" Id="rId117" Target="https://doi.org/10.1186/s40536-016-0019-1" TargetMode="External" /><Relationship Type="http://schemas.openxmlformats.org/officeDocument/2006/relationships/hyperlink" Id="rId66"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4" Target="https://doi.org/10.21105/joss.01686" TargetMode="External" /><Relationship Type="http://schemas.openxmlformats.org/officeDocument/2006/relationships/hyperlink" Id="rId60" Target="https://doi.org/10.3102/10769986022003265" TargetMode="External" /><Relationship Type="http://schemas.openxmlformats.org/officeDocument/2006/relationships/hyperlink" Id="rId132" Target="https://doi.org/10.4324/9780203861264.ch3" TargetMode="External" /><Relationship Type="http://schemas.openxmlformats.org/officeDocument/2006/relationships/hyperlink" Id="rId130" Target="https://doi.org/10.7275/v2gd-4441" TargetMode="External" /><Relationship Type="http://schemas.openxmlformats.org/officeDocument/2006/relationships/hyperlink" Id="rId75"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2024-01-17T18:58:23Z</dcterms:created>
  <dcterms:modified xsi:type="dcterms:W3CDTF">2024-01-17T18:58:23Z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