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46.png" ContentType="image/png"/>
  <Override PartName="/word/media/rId21.svgz" ContentType="image/svg+xml"/>
  <Override PartName="/word/media/rId152.png" ContentType="image/png"/>
  <Override PartName="/word/media/rId156.png" ContentType="image/png"/>
  <Override PartName="/word/media/rId162.png" ContentType="image/png"/>
  <Override PartName="/word/media/rId166.png" ContentType="image/png"/>
  <Override PartName="/word/media/rId170.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An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2023a)</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this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represents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2023b)</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 it is very likely that</w:t>
      </w:r>
      <w:r>
        <w:t xml:space="preserve"> </w:t>
      </w:r>
      <w:r>
        <w:rPr>
          <w:rStyle w:val="VerbatimChar"/>
        </w:rPr>
        <w:t xml:space="preserve">0</w:t>
      </w:r>
      <w:r>
        <w:t xml:space="preserve"> </w:t>
      </w:r>
      <w:r>
        <w:t xml:space="preserve">is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Table 2 again, mean score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 not drastically vary and have</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suggests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this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in order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this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a Pearson’s correlation matrix as an input. Therefore, we first need to create a Pearson’s correlation matrix from our data frame, and then, run a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total variance is explained by a latent factor. Since the latent factor can account for more than 50% of variance, we can reasonably assume that the latent factor underlying our data is unidimensional. To better visualize the Eigenvalues of the EFA, we can draw a scree plot using these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pPr>
        <w:pStyle w:val="BodyText"/>
      </w:pPr>
      <w:r>
        <w:t xml:space="preserve">To scrutinize unidimensionality assumption, we can also run a parallel analysis by running this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this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Eigenvalues for the first factor is much larger than the its adjacent factor (</w:t>
      </w:r>
      <w:r>
        <w:rPr>
          <w:rStyle w:val="VerbatimChar"/>
        </w:rPr>
        <w:t xml:space="preserve">12.225/0.843</w:t>
      </w:r>
      <w:r>
        <w:t xml:space="preserve">), further supporting for the evidence for unidimensionality.</w:t>
      </w:r>
    </w:p>
    <w:bookmarkEnd w:id="38"/>
    <w:bookmarkStart w:id="39"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specification,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 1 to 22 of the data frame that we are going to use in the analysis. Then, we can continue to model fitting by typing this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presume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Apart from this tutorial, readers might encounter four common error messages after running</w:t>
      </w:r>
      <w:r>
        <w:t xml:space="preserve"> </w:t>
      </w:r>
      <w:r>
        <w:rPr>
          <w:rStyle w:val="VerbatimChar"/>
        </w:rPr>
        <w:t xml:space="preserve">mirt()</w:t>
      </w:r>
      <w:r>
        <w:t xml:space="preserve"> </w:t>
      </w:r>
      <w:r>
        <w:t xml:space="preserve">function: (a)</w:t>
      </w:r>
      <w:r>
        <w:t xml:space="preserve"> </w:t>
      </w:r>
      <w:r>
        <w:rPr>
          <w:rStyle w:val="VerbatimChar"/>
        </w:rPr>
        <w:t xml:space="preserve">EM cycles terminated after 500 iterations</w:t>
      </w:r>
      <w:r>
        <w:t xml:space="preserve">, (b)</w:t>
      </w:r>
      <w:r>
        <w:t xml:space="preserve"> </w:t>
      </w:r>
      <w:r>
        <w:rPr>
          <w:rStyle w:val="VerbatimChar"/>
        </w:rPr>
        <w:t xml:space="preserve">Could not invert information matrix; model may not be empirically identified</w:t>
      </w:r>
      <w:r>
        <w:t xml:space="preserve">, (c)</w:t>
      </w:r>
      <w:r>
        <w:t xml:space="preserve"> </w:t>
      </w:r>
      <w:r>
        <w:rPr>
          <w:rStyle w:val="VerbatimChar"/>
        </w:rPr>
        <w:t xml:space="preserve">The following items have only one response category and cannot be estimated</w:t>
      </w:r>
      <w:r>
        <w:t xml:space="preserve">, and (d)</w:t>
      </w:r>
      <w:r>
        <w:t xml:space="preserve"> </w:t>
      </w:r>
      <w:r>
        <w:rPr>
          <w:rStyle w:val="VerbatimChar"/>
        </w:rPr>
        <w:t xml:space="preserve">Error in [&lt;-(*tmp*, i, nms[[i]], value = items.old[[i]]) : subscript out of bounds</w:t>
      </w:r>
      <w:r>
        <w:t xml:space="preserve">. Error messages (a) and (b) correspond to the convergence issue, while (c) and (d) are issues related to the data structure.</w:t>
      </w:r>
    </w:p>
    <w:p>
      <w:pPr>
        <w:pStyle w:val="BodyText"/>
      </w:pPr>
      <w:r>
        <w:rPr>
          <w:iCs/>
          <w:i/>
        </w:rPr>
        <w:t xml:space="preserve">mirt</w:t>
      </w:r>
      <w:r>
        <w:t xml:space="preserve"> </w:t>
      </w:r>
      <w:r>
        <w:t xml:space="preserve">uses the EM algorithm as a default option. In short, the EM algorithm estimates model parameters in two steps: the expectation (E) and the maximization (M) steps. In the E step, the algorithm estimates the expected value of the</w:t>
      </w:r>
      <w:r>
        <w:t xml:space="preserve"> </w:t>
      </w:r>
      <m:oMath>
        <m:r>
          <m:t>θ</m:t>
        </m:r>
      </m:oMath>
      <w:r>
        <w:t xml:space="preserve">, and in the M step, it improves model parameters to maximize the likelihood of the observed data given the expected value of</w:t>
      </w:r>
      <w:r>
        <w:t xml:space="preserve"> </w:t>
      </w:r>
      <m:oMath>
        <m:r>
          <m:t>θ</m:t>
        </m:r>
      </m:oMath>
      <w:r>
        <w:t xml:space="preserve">. The process continues until model parameters are converged in stable values that fit to the data. If the error message (a) appears, it means that the package cannot estimate a stable solution for model parameters after 500 iterations. As a solution, readers can simply increase the maximum number of iterations to, for instance, 1000 cycles by adding this option</w:t>
      </w:r>
      <w:r>
        <w:t xml:space="preserve"> </w:t>
      </w:r>
      <w:r>
        <w:rPr>
          <w:rStyle w:val="VerbatimChar"/>
        </w:rPr>
        <w:t xml:space="preserve">technical = list(NCYCLES = 10000)</w:t>
      </w:r>
      <w:r>
        <w:t xml:space="preserve"> </w:t>
      </w:r>
      <w:r>
        <w:t xml:space="preserve">to the</w:t>
      </w:r>
      <w:r>
        <w:t xml:space="preserve"> </w:t>
      </w:r>
      <w:r>
        <w:rPr>
          <w:rStyle w:val="VerbatimChar"/>
        </w:rPr>
        <w:t xml:space="preserve">mirt()</w:t>
      </w:r>
      <w:r>
        <w:t xml:space="preserve"> </w:t>
      </w:r>
      <w:r>
        <w:t xml:space="preserve">function.</w:t>
      </w:r>
    </w:p>
    <w:p>
      <w:pPr>
        <w:pStyle w:val="BodyText"/>
      </w:pPr>
      <w:r>
        <w:t xml:space="preserve">The solution to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pPr>
        <w:pStyle w:val="BodyText"/>
      </w:pPr>
      <w:r>
        <w:t xml:space="preserve">The error message (c) and (d) are easier to solve because both indicate the error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 item discrimination exceeding 0.00, 0.35, 0.65, 1.35, and 1.70, as very low, low, moderate, high, and very high. As we seen in Table 4, item discrimination parameters of the RWA scale are ranging from high to very high (1.57 (Q1) to 3.32 (Q7)), suggesting efficient differentiation among individuals at different RWA levels. All threshold parameters show a consistent increase, implying that those with higher RWA levels tend towards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measure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both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 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t xml:space="preserve">We ask the package to calculate the scaled</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by running this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are similar to a general guide of interpreting GOF in CFA or SEM models</w:t>
      </w:r>
      <w:r>
        <w:t xml:space="preserve"> </w:t>
      </w:r>
      <w:r>
        <w:t xml:space="preserve">(Schermelleh-Engel et al., 2003)</w:t>
      </w:r>
      <w:r>
        <w:t xml:space="preserve">.</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and this may be caused by local dependency between the items. We will explore this issue further in the next part.</w:t>
      </w:r>
    </w:p>
    <w:p>
      <w:pPr>
        <w:pStyle w:val="BodyText"/>
      </w:pPr>
      <w:r>
        <w:t xml:space="preserve">Next, we calculate item-level fit statistics, i.e., the scaled</w:t>
      </w:r>
      <w:r>
        <w:t xml:space="preserve"> </w:t>
      </w:r>
      <m:oMath>
        <m:r>
          <m:t>χ</m:t>
        </m:r>
      </m:oMath>
      <w:r>
        <w:rPr>
          <w:vertAlign w:val="superscript"/>
        </w:rPr>
        <w:t xml:space="preserve">2</w:t>
      </w:r>
      <w:r>
        <w:t xml:space="preserve"> </w:t>
      </w:r>
      <w:r>
        <w:t xml:space="preserve">statistics, by running this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scaled</w:t>
      </w:r>
      <w:r>
        <w:t xml:space="preserve"> </w:t>
      </w:r>
      <m:oMath>
        <m:r>
          <m:t>χ</m:t>
        </m:r>
      </m:oMath>
      <w:r>
        <w:rPr>
          <w:vertAlign w:val="superscript"/>
        </w:rPr>
        <w:t xml:space="preserve">2</w:t>
      </w:r>
      <w:r>
        <w:t xml:space="preserve"> </w:t>
      </w:r>
      <w:r>
        <w:t xml:space="preserve">to be nonsignificant, implying there is no discrepancy between the observed response pattern with what the model predicts. In Table 5, only three items here are nonsignificant (Q2, Q4, and Q12), which strengthens our suspicion that the RWA items might not be locally independent.</w:t>
      </w:r>
    </w:p>
    <w:bookmarkEnd w:id="39"/>
    <w:bookmarkStart w:id="40"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model residuals. First, we demonstrate how to run Local Dependency (LD)</w:t>
      </w:r>
      <w:r>
        <w:t xml:space="preserve"> </w:t>
      </w:r>
      <m:oMath>
        <m:r>
          <m:t>χ</m:t>
        </m:r>
      </m:oMath>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To that end, readers can run two lines of codes as follows: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(LD)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Creating a new matrix containing values only on the upper side of the diagonal (correlations).</w:t>
      </w:r>
    </w:p>
    <w:p>
      <w:pPr>
        <w:pStyle w:val="FirstParagraph"/>
      </w:pPr>
      <w:r>
        <w:t xml:space="preserve">The first line of code aims to extract residuals of</w:t>
      </w:r>
      <w:r>
        <w:t xml:space="preserve"> </w:t>
      </w:r>
      <w:r>
        <w:rPr>
          <w:rStyle w:val="VerbatimChar"/>
        </w:rPr>
        <w:t xml:space="preserve">fit</w:t>
      </w:r>
      <w:r>
        <w:t xml:space="preserve"> </w:t>
      </w:r>
      <w:r>
        <w:t xml:space="preserve">model and store them as a matrix, namely</w:t>
      </w:r>
      <w:r>
        <w:t xml:space="preserve"> </w:t>
      </w:r>
      <w:r>
        <w:rPr>
          <w:rStyle w:val="VerbatimChar"/>
        </w:rPr>
        <w:t xml:space="preserve">ld</w:t>
      </w:r>
      <w:r>
        <w:t xml:space="preserve">. The</w:t>
      </w:r>
      <w:r>
        <w:t xml:space="preserve"> </w:t>
      </w:r>
      <w:r>
        <w:rPr>
          <w:rStyle w:val="VerbatimChar"/>
        </w:rPr>
        <w:t xml:space="preserve">type</w:t>
      </w:r>
      <w:r>
        <w:t xml:space="preserve"> </w:t>
      </w:r>
      <w:r>
        <w:t xml:space="preserve">option is set to</w:t>
      </w:r>
      <w:r>
        <w:t xml:space="preserve"> </w:t>
      </w:r>
      <w:r>
        <w:rPr>
          <w:rStyle w:val="VerbatimChar"/>
        </w:rPr>
        <w:t xml:space="preserve">"LD"</w:t>
      </w:r>
      <w:r>
        <w:t xml:space="preserve"> </w:t>
      </w:r>
      <w:r>
        <w:t xml:space="preserve">because we ask the package to calculate LD statistics of the</w:t>
      </w:r>
      <w:r>
        <w:t xml:space="preserve"> </w:t>
      </w:r>
      <w:r>
        <w:rPr>
          <w:rStyle w:val="VerbatimChar"/>
        </w:rPr>
        <w:t xml:space="preserve">fit</w:t>
      </w:r>
      <w:r>
        <w:t xml:space="preserve"> </w:t>
      </w:r>
      <w:r>
        <w:t xml:space="preserve">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pPr>
        <w:pStyle w:val="BodyText"/>
      </w:pPr>
      <w:r>
        <w:t xml:space="preserve">We are only interested in large correlations between a pair of items because they indicate that responses to one item depend on responses to another item beyond what is explained by</w:t>
      </w:r>
      <w:r>
        <w:t xml:space="preserve"> </w:t>
      </w:r>
      <m:oMath>
        <m:r>
          <m:t>θ</m:t>
        </m:r>
      </m:oMath>
      <w:r>
        <w:t xml:space="preserve">. It is important to note that there is no consensus on a rule of thumb for the cutoff value of residual correlations because LD statistics are contingent to the parameters of a specific dataset</w:t>
      </w:r>
      <w:r>
        <w:t xml:space="preserve"> </w:t>
      </w:r>
      <w:r>
        <w:t xml:space="preserve">(Christensen et al., 2017)</w:t>
      </w:r>
      <w:r>
        <w:t xml:space="preserve">. For the purpose of this tutorial, we set |0.2| as an paired correlation value that we want to look closely. To do so, we create a vector to define the value of residual correlations that we are interested in:</w:t>
      </w:r>
    </w:p>
    <w:p>
      <w:pPr>
        <w:pStyle w:val="SourceCode"/>
      </w:pP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A vector defining unusually large residuals ( &gt; |0.2|).</w:t>
      </w:r>
    </w:p>
    <w:p>
      <w:pPr>
        <w:pStyle w:val="FirstParagraph"/>
      </w:pPr>
      <w:r>
        <w:t xml:space="preserve">We can then use the new vector</w:t>
      </w:r>
      <w:r>
        <w:t xml:space="preserve"> </w:t>
      </w:r>
      <w:r>
        <w:rPr>
          <w:rStyle w:val="VerbatimChar"/>
        </w:rPr>
        <w:t xml:space="preserve">lar</w:t>
      </w:r>
      <w:r>
        <w:t xml:space="preserve"> </w:t>
      </w:r>
      <w:r>
        <w:t xml:space="preserve">to ask R to tell us the item pairs with residuals correlations above |0.2| by running this function: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After running the function above, readers may encounter an error message:</w:t>
      </w:r>
      <w:r>
        <w:t xml:space="preserve"> </w:t>
      </w:r>
      <w:r>
        <w:rPr>
          <w:rStyle w:val="VerbatimChar"/>
        </w:rPr>
        <w:t xml:space="preserve">Error in lar[i, 1] : subscript out of bounds</w:t>
      </w:r>
      <w:r>
        <w:t xml:space="preserve">. This message indicates that R does not detect any residual correlation above |0.2|. To paint a clearer picture, we may need to use another way to examine model residuals. In the next part,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nonsignificant</w:t>
      </w:r>
      <w:r>
        <w:t xml:space="preserve"> </w:t>
      </w:r>
      <w:r>
        <w:rPr>
          <w:iCs/>
          <w:i/>
        </w:rPr>
        <w:t xml:space="preserve">S</w:t>
      </w:r>
      <w:r>
        <w:t xml:space="preserve">-</w:t>
      </w:r>
      <m:oMath>
        <m:r>
          <m:t>χ</m:t>
        </m:r>
      </m:oMath>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40"/>
    <w:bookmarkStart w:id="41"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pPr>
        <w:pStyle w:val="BodyText"/>
      </w:pPr>
      <w:r>
        <w:t xml:space="preserve">To evaluate the performance of each item in measuring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an average to high level of RWA.</w:t>
      </w:r>
    </w:p>
    <w:p>
      <w:pPr>
        <w:pStyle w:val="BodyText"/>
      </w:pPr>
      <w:r>
        <w:t xml:space="preserve">It is also possible to evaluate the overall performance of the RWA scale by plotting a TIF, which can be done by running this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individuals with a wide range of RWA levels, i.e., between -2</w:t>
      </w:r>
      <w:r>
        <w:rPr>
          <w:iCs/>
          <w:i/>
        </w:rPr>
        <w:t xml:space="preserve">SD</w:t>
      </w:r>
      <w:r>
        <w:t xml:space="preserve"> </w:t>
      </w:r>
      <w:r>
        <w:t xml:space="preserve">to +4</w:t>
      </w:r>
      <w:r>
        <w:rPr>
          <w:iCs/>
          <w:i/>
        </w:rPr>
        <w:t xml:space="preserve">SD</w:t>
      </w:r>
      <w:r>
        <w:t xml:space="preserve">.</w:t>
      </w:r>
    </w:p>
    <w:bookmarkEnd w:id="41"/>
    <w:bookmarkStart w:id="42" w:name="step-7-computing-reliability"/>
    <w:p>
      <w:pPr>
        <w:pStyle w:val="Heading2"/>
      </w:pPr>
      <w:r>
        <w:t xml:space="preserve">Step 7: Computing Reliability</w:t>
      </w:r>
    </w:p>
    <w:p>
      <w:pPr>
        <w:pStyle w:val="SourceCode"/>
      </w:pPr>
      <w:r>
        <w:rPr>
          <w:rStyle w:val="NormalTok"/>
        </w:rPr>
        <w:t xml:space="preserve">m_rel </w:t>
      </w:r>
      <w:r>
        <w:rPr>
          <w:rStyle w:val="OtherTok"/>
        </w:rPr>
        <w:t xml:space="preserve">&lt;-</w:t>
      </w:r>
      <w:r>
        <w:rPr>
          <w:rStyle w:val="NormalTok"/>
        </w:rPr>
        <w:t xml:space="preserve"> </w:t>
      </w:r>
      <w:r>
        <w:rPr>
          <w:rStyle w:val="FunctionTok"/>
        </w:rPr>
        <w:t xml:space="preserve">marginal_rxx</w:t>
      </w:r>
      <w:r>
        <w:rPr>
          <w:rStyle w:val="NormalTok"/>
        </w:rPr>
        <w:t xml:space="preserve">(fit)</w:t>
      </w:r>
    </w:p>
    <w:p>
      <w:pPr>
        <w:pStyle w:val="FirstParagraph"/>
      </w:pPr>
      <w:r>
        <w:t xml:space="preserve">lhalalala</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Figure 7</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T) </w:t>
      </w:r>
      <w:r>
        <w:rPr>
          <w:rStyle w:val="CommentTok"/>
        </w:rPr>
        <w:t xml:space="preserve"># Extracting the estimated theta score of each participant.</w:t>
      </w:r>
      <w:r>
        <w:br/>
      </w:r>
      <w:r>
        <w:rPr>
          <w:rStyle w:val="NormalTok"/>
        </w:rPr>
        <w:t xml:space="preserve">e_rel </w:t>
      </w:r>
      <w:r>
        <w:rPr>
          <w:rStyle w:val="OtherTok"/>
        </w:rPr>
        <w:t xml:space="preserve">&lt;-</w:t>
      </w:r>
      <w:r>
        <w:rPr>
          <w:rStyle w:val="NormalTok"/>
        </w:rPr>
        <w:t xml:space="preserve"> </w:t>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lhalalala</w:t>
      </w:r>
    </w:p>
    <w:p>
      <w:pPr>
        <w:pStyle w:val="SourceCode"/>
      </w:pPr>
      <w:r>
        <w:rPr>
          <w:rStyle w:val="FunctionTok"/>
        </w:rPr>
        <w:t xml:space="preserve">omega</w:t>
      </w:r>
      <w:r>
        <w:rPr>
          <w:rStyle w:val="NormalTok"/>
        </w:rPr>
        <w:t xml:space="preserve">(rwa)</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77" w:name="references"/>
    <w:p>
      <w:pPr>
        <w:pStyle w:val="Heading1"/>
      </w:pPr>
      <w:r>
        <w:t xml:space="preserve">References</w:t>
      </w:r>
    </w:p>
    <w:bookmarkStart w:id="143"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6"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6"/>
    <w:bookmarkStart w:id="58"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7">
        <w:r>
          <w:rPr>
            <w:rStyle w:val="Hyperlink"/>
          </w:rPr>
          <w:t xml:space="preserve">https://doi.org/10.18637/jss.v048.i06</w:t>
        </w:r>
      </w:hyperlink>
    </w:p>
    <w:bookmarkEnd w:id="58"/>
    <w:bookmarkStart w:id="60"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59">
        <w:r>
          <w:rPr>
            <w:rStyle w:val="Hyperlink"/>
          </w:rPr>
          <w:t xml:space="preserve">https://doi.org/10.3102/10769986022003265</w:t>
        </w:r>
      </w:hyperlink>
    </w:p>
    <w:bookmarkEnd w:id="60"/>
    <w:bookmarkStart w:id="62" w:name="ref-christensenCriticalValuesYen2017"/>
    <w:p>
      <w:pPr>
        <w:pStyle w:val="Bibliography"/>
      </w:pPr>
      <w:r>
        <w:t xml:space="preserve">Christensen, K. B., Makransky, G., &amp; Horton, M. (2017). Critical</w:t>
      </w:r>
      <w:r>
        <w:t xml:space="preserve"> </w:t>
      </w:r>
      <w:r>
        <w:t xml:space="preserve">Values</w:t>
      </w:r>
      <w:r>
        <w:t xml:space="preserve"> </w:t>
      </w:r>
      <w:r>
        <w:t xml:space="preserve">for</w:t>
      </w:r>
      <w:r>
        <w:t xml:space="preserve"> </w:t>
      </w:r>
      <w:r>
        <w:t xml:space="preserve">Yen</w:t>
      </w:r>
      <w:r>
        <w:t xml:space="preserve">’s</w:t>
      </w:r>
      <w:r>
        <w:t xml:space="preserve"> </w:t>
      </w:r>
      <w:r>
        <w:t xml:space="preserve">Q3</w:t>
      </w:r>
      <w:r>
        <w:t xml:space="preserve">:</w:t>
      </w:r>
      <w:r>
        <w:t xml:space="preserve"> </w:t>
      </w:r>
      <w:r>
        <w:t xml:space="preserve">Identification</w:t>
      </w:r>
      <w:r>
        <w:t xml:space="preserve"> </w:t>
      </w:r>
      <w:r>
        <w:t xml:space="preserve">of</w:t>
      </w:r>
      <w:r>
        <w:t xml:space="preserve"> </w:t>
      </w:r>
      <w:r>
        <w:t xml:space="preserve">Local Dependence</w:t>
      </w:r>
      <w:r>
        <w:t xml:space="preserve"> </w:t>
      </w:r>
      <w:r>
        <w:t xml:space="preserve">in the</w:t>
      </w:r>
      <w:r>
        <w:t xml:space="preserve"> </w:t>
      </w:r>
      <w:r>
        <w:t xml:space="preserve">Rasch Model Using Residual Correlations</w:t>
      </w:r>
      <w:r>
        <w:t xml:space="preserve">.</w:t>
      </w:r>
      <w:r>
        <w:t xml:space="preserve"> </w:t>
      </w:r>
      <w:r>
        <w:rPr>
          <w:iCs/>
          <w:i/>
        </w:rPr>
        <w:t xml:space="preserve">Appl Psychol Meas</w:t>
      </w:r>
      <w:r>
        <w:t xml:space="preserve">,</w:t>
      </w:r>
      <w:r>
        <w:t xml:space="preserve"> </w:t>
      </w:r>
      <w:r>
        <w:rPr>
          <w:iCs/>
          <w:i/>
        </w:rPr>
        <w:t xml:space="preserve">41</w:t>
      </w:r>
      <w:r>
        <w:t xml:space="preserve">(3), 178–194.</w:t>
      </w:r>
      <w:r>
        <w:t xml:space="preserve"> </w:t>
      </w:r>
      <w:hyperlink r:id="rId61">
        <w:r>
          <w:rPr>
            <w:rStyle w:val="Hyperlink"/>
          </w:rPr>
          <w:t xml:space="preserve">https://doi.org/10.1177/0146621616677520</w:t>
        </w:r>
      </w:hyperlink>
    </w:p>
    <w:bookmarkEnd w:id="62"/>
    <w:bookmarkStart w:id="63"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3"/>
    <w:bookmarkStart w:id="64"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4"/>
    <w:bookmarkStart w:id="66"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5">
        <w:r>
          <w:rPr>
            <w:rStyle w:val="Hyperlink"/>
          </w:rPr>
          <w:t xml:space="preserve">https://doi.org/10.1207/s15327906mbr2604_9</w:t>
        </w:r>
      </w:hyperlink>
    </w:p>
    <w:bookmarkEnd w:id="66"/>
    <w:bookmarkStart w:id="68"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7">
        <w:r>
          <w:rPr>
            <w:rStyle w:val="Hyperlink"/>
          </w:rPr>
          <w:t xml:space="preserve">https://doi.org/10.1111/pops.12022</w:t>
        </w:r>
      </w:hyperlink>
    </w:p>
    <w:bookmarkEnd w:id="68"/>
    <w:bookmarkStart w:id="70"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69">
        <w:r>
          <w:rPr>
            <w:rStyle w:val="Hyperlink"/>
          </w:rPr>
          <w:t xml:space="preserve">https://doi.org/10.1017/9781316161579.009</w:t>
        </w:r>
      </w:hyperlink>
    </w:p>
    <w:bookmarkEnd w:id="70"/>
    <w:bookmarkStart w:id="72"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71">
        <w:r>
          <w:rPr>
            <w:rStyle w:val="Hyperlink"/>
          </w:rPr>
          <w:t xml:space="preserve">https://doi.org/10.1038/s44271-023-00026-9</w:t>
        </w:r>
      </w:hyperlink>
    </w:p>
    <w:bookmarkEnd w:id="72"/>
    <w:bookmarkStart w:id="73"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3"/>
    <w:bookmarkStart w:id="75"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4">
        <w:r>
          <w:rPr>
            <w:rStyle w:val="Hyperlink"/>
          </w:rPr>
          <w:t xml:space="preserve">https://doi.org/gj2hw7</w:t>
        </w:r>
      </w:hyperlink>
    </w:p>
    <w:bookmarkEnd w:id="75"/>
    <w:bookmarkStart w:id="77"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6">
        <w:r>
          <w:rPr>
            <w:rStyle w:val="Hyperlink"/>
          </w:rPr>
          <w:t xml:space="preserve">https://doi.org/10.1177/2515245920952393</w:t>
        </w:r>
      </w:hyperlink>
    </w:p>
    <w:bookmarkEnd w:id="77"/>
    <w:bookmarkStart w:id="79"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8">
        <w:r>
          <w:rPr>
            <w:rStyle w:val="Hyperlink"/>
          </w:rPr>
          <w:t xml:space="preserve">https://doi.org/10.1177/1948550617693063</w:t>
        </w:r>
      </w:hyperlink>
    </w:p>
    <w:bookmarkEnd w:id="79"/>
    <w:bookmarkStart w:id="81"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80">
        <w:r>
          <w:rPr>
            <w:rStyle w:val="Hyperlink"/>
          </w:rPr>
          <w:t xml:space="preserve">https://doi.org/10.1037/cbs0000069</w:t>
        </w:r>
      </w:hyperlink>
    </w:p>
    <w:bookmarkEnd w:id="81"/>
    <w:bookmarkStart w:id="83"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2">
        <w:r>
          <w:rPr>
            <w:rStyle w:val="Hyperlink"/>
          </w:rPr>
          <w:t xml:space="preserve">https://doi.org/10.1177/00131644221111838</w:t>
        </w:r>
      </w:hyperlink>
    </w:p>
    <w:bookmarkEnd w:id="83"/>
    <w:bookmarkStart w:id="85"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84">
        <w:r>
          <w:rPr>
            <w:rStyle w:val="Hyperlink"/>
          </w:rPr>
          <w:t xml:space="preserve">https://doi.org/10.1177/014662168601000307</w:t>
        </w:r>
      </w:hyperlink>
    </w:p>
    <w:bookmarkEnd w:id="85"/>
    <w:bookmarkStart w:id="86"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6"/>
    <w:bookmarkStart w:id="88"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87">
        <w:r>
          <w:rPr>
            <w:rStyle w:val="Hyperlink"/>
          </w:rPr>
          <w:t xml:space="preserve">https://doi.org/10.1007/BF02289468</w:t>
        </w:r>
      </w:hyperlink>
    </w:p>
    <w:bookmarkEnd w:id="88"/>
    <w:bookmarkStart w:id="90"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89">
        <w:r>
          <w:rPr>
            <w:rStyle w:val="Hyperlink"/>
          </w:rPr>
          <w:t xml:space="preserve">https://doi.org/10.1177/2515245919882903</w:t>
        </w:r>
      </w:hyperlink>
    </w:p>
    <w:bookmarkEnd w:id="90"/>
    <w:bookmarkStart w:id="92"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91">
        <w:r>
          <w:rPr>
            <w:rStyle w:val="Hyperlink"/>
          </w:rPr>
          <w:t xml:space="preserve">https://doi.org/10.1111/jedm.12000</w:t>
        </w:r>
      </w:hyperlink>
    </w:p>
    <w:bookmarkEnd w:id="92"/>
    <w:bookmarkStart w:id="94"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3">
        <w:r>
          <w:rPr>
            <w:rStyle w:val="Hyperlink"/>
          </w:rPr>
          <w:t xml:space="preserve">https://doi.org/10.1080/0969594X.2016.1156645</w:t>
        </w:r>
      </w:hyperlink>
    </w:p>
    <w:bookmarkEnd w:id="94"/>
    <w:bookmarkStart w:id="95"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95"/>
    <w:bookmarkStart w:id="97"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96">
        <w:r>
          <w:rPr>
            <w:rStyle w:val="Hyperlink"/>
          </w:rPr>
          <w:t xml:space="preserve">https://doi.org/10.1146/annurev-orgpsych-012420-061705</w:t>
        </w:r>
      </w:hyperlink>
    </w:p>
    <w:bookmarkEnd w:id="97"/>
    <w:bookmarkStart w:id="99"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8">
        <w:r>
          <w:rPr>
            <w:rStyle w:val="Hyperlink"/>
          </w:rPr>
          <w:t xml:space="preserve">https://doi.org/10.1037/cap0000236</w:t>
        </w:r>
      </w:hyperlink>
    </w:p>
    <w:bookmarkEnd w:id="99"/>
    <w:bookmarkStart w:id="100" w:name="ref-masurGgmirt2023"/>
    <w:p>
      <w:pPr>
        <w:pStyle w:val="Bibliography"/>
      </w:pPr>
      <w:r>
        <w:t xml:space="preserve">Masur, P. K. (2023).</w:t>
      </w:r>
      <w:r>
        <w:t xml:space="preserve"> </w:t>
      </w:r>
      <w:r>
        <w:rPr>
          <w:iCs/>
          <w:i/>
        </w:rPr>
        <w:t xml:space="preserve">Ggmirt</w:t>
      </w:r>
      <w:r>
        <w:t xml:space="preserve">.</w:t>
      </w:r>
    </w:p>
    <w:bookmarkEnd w:id="100"/>
    <w:bookmarkStart w:id="102"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01">
        <w:r>
          <w:rPr>
            <w:rStyle w:val="Hyperlink"/>
          </w:rPr>
          <w:t xml:space="preserve">https://doi.org/10.1007/s11336-005-1295-9</w:t>
        </w:r>
      </w:hyperlink>
    </w:p>
    <w:bookmarkEnd w:id="102"/>
    <w:bookmarkStart w:id="104"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103">
        <w:r>
          <w:rPr>
            <w:rStyle w:val="Hyperlink"/>
          </w:rPr>
          <w:t xml:space="preserve">https://doi.org/10.1037/met0000144</w:t>
        </w:r>
      </w:hyperlink>
    </w:p>
    <w:bookmarkEnd w:id="104"/>
    <w:bookmarkStart w:id="105"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05"/>
    <w:bookmarkStart w:id="107"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06">
        <w:r>
          <w:rPr>
            <w:rStyle w:val="Hyperlink"/>
          </w:rPr>
          <w:t xml:space="preserve">https://doi.org/10.1177/014662169201600206</w:t>
        </w:r>
      </w:hyperlink>
    </w:p>
    <w:bookmarkEnd w:id="107"/>
    <w:bookmarkStart w:id="108"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08"/>
    <w:bookmarkStart w:id="110"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09">
        <w:r>
          <w:rPr>
            <w:rStyle w:val="Hyperlink"/>
          </w:rPr>
          <w:t xml:space="preserve">https://doi.org/10.1038/s44159-023-00161-4</w:t>
        </w:r>
      </w:hyperlink>
    </w:p>
    <w:bookmarkEnd w:id="110"/>
    <w:bookmarkStart w:id="111"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11"/>
    <w:bookmarkStart w:id="113"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12">
        <w:r>
          <w:rPr>
            <w:rStyle w:val="Hyperlink"/>
          </w:rPr>
          <w:t xml:space="preserve">https://doi.org/10.1163/24689300-01401006</w:t>
        </w:r>
      </w:hyperlink>
    </w:p>
    <w:bookmarkEnd w:id="113"/>
    <w:bookmarkStart w:id="114"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14"/>
    <w:bookmarkStart w:id="115" w:name="X3df0b348f80d9bf4e12f708b20f66c81afe6902"/>
    <w:p>
      <w:pPr>
        <w:pStyle w:val="Bibliography"/>
      </w:pPr>
      <w:r>
        <w:t xml:space="preserve">Revelle, W. (2023b).</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5"/>
    <w:bookmarkStart w:id="116" w:name="Xf358d99f734b285812a0391b06b559319382f52"/>
    <w:p>
      <w:pPr>
        <w:pStyle w:val="Bibliography"/>
      </w:pPr>
      <w:r>
        <w:t xml:space="preserve">Revelle, W. (2023a).</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6"/>
    <w:bookmarkStart w:id="118"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17">
        <w:r>
          <w:rPr>
            <w:rStyle w:val="Hyperlink"/>
          </w:rPr>
          <w:t xml:space="preserve">https://doi.org/10.1186/s40536-016-0019-1</w:t>
        </w:r>
      </w:hyperlink>
    </w:p>
    <w:bookmarkEnd w:id="118"/>
    <w:bookmarkStart w:id="120"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19">
        <w:r>
          <w:rPr>
            <w:rStyle w:val="Hyperlink"/>
          </w:rPr>
          <w:t xml:space="preserve">https://doi.org/10.1007/978-1-4757-2691-6_5</w:t>
        </w:r>
      </w:hyperlink>
    </w:p>
    <w:bookmarkEnd w:id="120"/>
    <w:bookmarkStart w:id="121"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21"/>
    <w:bookmarkStart w:id="122"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22"/>
    <w:bookmarkStart w:id="124"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23">
        <w:r>
          <w:rPr>
            <w:rStyle w:val="Hyperlink"/>
          </w:rPr>
          <w:t xml:space="preserve">https://doi.org/10.1007/978-3-319-28099-8_1262-1</w:t>
        </w:r>
      </w:hyperlink>
    </w:p>
    <w:bookmarkEnd w:id="124"/>
    <w:bookmarkStart w:id="125"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25"/>
    <w:bookmarkStart w:id="127"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26">
        <w:r>
          <w:rPr>
            <w:rStyle w:val="Hyperlink"/>
          </w:rPr>
          <w:t xml:space="preserve">https://doi.org/10.1016/j.jrp.2012.08.002</w:t>
        </w:r>
      </w:hyperlink>
    </w:p>
    <w:bookmarkEnd w:id="127"/>
    <w:bookmarkStart w:id="129"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28">
        <w:r>
          <w:rPr>
            <w:rStyle w:val="Hyperlink"/>
          </w:rPr>
          <w:t xml:space="preserve">https://doi.org/10.1007/s11336-008-9101-0</w:t>
        </w:r>
      </w:hyperlink>
    </w:p>
    <w:bookmarkEnd w:id="129"/>
    <w:bookmarkStart w:id="131"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30">
        <w:r>
          <w:rPr>
            <w:rStyle w:val="Hyperlink"/>
          </w:rPr>
          <w:t xml:space="preserve">https://doi.org/10.7275/v2gd-4441</w:t>
        </w:r>
      </w:hyperlink>
    </w:p>
    <w:bookmarkEnd w:id="131"/>
    <w:bookmarkStart w:id="133"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32">
        <w:r>
          <w:rPr>
            <w:rStyle w:val="Hyperlink"/>
          </w:rPr>
          <w:t xml:space="preserve">https://doi.org/10.4324/9780203861264.ch3</w:t>
        </w:r>
      </w:hyperlink>
    </w:p>
    <w:bookmarkEnd w:id="133"/>
    <w:bookmarkStart w:id="135"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4">
        <w:r>
          <w:rPr>
            <w:rStyle w:val="Hyperlink"/>
          </w:rPr>
          <w:t xml:space="preserve">https://doi.org/10.21105/joss.01686</w:t>
        </w:r>
      </w:hyperlink>
    </w:p>
    <w:bookmarkEnd w:id="135"/>
    <w:bookmarkStart w:id="136"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36"/>
    <w:bookmarkStart w:id="138"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37">
        <w:r>
          <w:rPr>
            <w:rStyle w:val="Hyperlink"/>
          </w:rPr>
          <w:t xml:space="preserve">https://doi.org/10.1177/014662168400800201</w:t>
        </w:r>
      </w:hyperlink>
    </w:p>
    <w:bookmarkEnd w:id="138"/>
    <w:bookmarkStart w:id="140"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39">
        <w:r>
          <w:rPr>
            <w:rStyle w:val="Hyperlink"/>
          </w:rPr>
          <w:t xml:space="preserve">https://doi.org/10.1016/S0169-7161(06)26003-6</w:t>
        </w:r>
      </w:hyperlink>
    </w:p>
    <w:bookmarkEnd w:id="140"/>
    <w:bookmarkStart w:id="142"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41">
        <w:r>
          <w:rPr>
            <w:rStyle w:val="Hyperlink"/>
          </w:rPr>
          <w:t xml:space="preserve">https://doi.org/10.1007/978-3-319-07794-9</w:t>
        </w:r>
      </w:hyperlink>
    </w:p>
    <w:bookmarkEnd w:id="142"/>
    <w:bookmarkEnd w:id="143"/>
    <w:p>
      <w:r>
        <w:br w:type="page"/>
      </w:r>
    </w:p>
    <w:bookmarkStart w:id="144" w:name="apatb-table1"/>
    <w:p>
      <w:pPr>
        <w:pStyle w:val="FigureTitle"/>
      </w:pPr>
      <w:r>
        <w:t xml:space="preserve">Table 1</w:t>
      </w:r>
    </w:p>
    <w:bookmarkEnd w:id="144"/>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45" w:name="apafg-fig1"/>
    <w:p>
      <w:pPr>
        <w:pStyle w:val="FigureTitle"/>
      </w:pPr>
      <w:r>
        <w:t xml:space="preserve">Figure 1</w:t>
      </w:r>
    </w:p>
    <w:bookmarkEnd w:id="145"/>
    <w:p>
      <w:pPr>
        <w:pStyle w:val="Caption"/>
      </w:pPr>
      <w:r>
        <w:t xml:space="preserve">An Item Probability Function from a GRM Model</w:t>
      </w:r>
    </w:p>
    <w:p>
      <w:pPr>
        <w:pStyle w:val="FigureWithoutNote"/>
      </w:pPr>
      <w:r>
        <w:drawing>
          <wp:inline>
            <wp:extent cx="5943600" cy="3606755"/>
            <wp:effectExtent b="0" l="0" r="0" t="0"/>
            <wp:docPr descr="" title="" id="147" name="Picture"/>
            <a:graphic>
              <a:graphicData uri="http://schemas.openxmlformats.org/drawingml/2006/picture">
                <pic:pic>
                  <pic:nvPicPr>
                    <pic:cNvPr descr="CPF%20example.png" id="148" name="Picture"/>
                    <pic:cNvPicPr>
                      <a:picLocks noChangeArrowheads="1" noChangeAspect="1"/>
                    </pic:cNvPicPr>
                  </pic:nvPicPr>
                  <pic:blipFill>
                    <a:blip r:embed="rId146"/>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49" w:name="apatb-table2"/>
    <w:p>
      <w:pPr>
        <w:pStyle w:val="FigureTitle"/>
      </w:pPr>
      <w:r>
        <w:t xml:space="preserve">Table 2</w:t>
      </w:r>
    </w:p>
    <w:bookmarkEnd w:id="149"/>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50" w:name="apatb-table3"/>
    <w:p>
      <w:pPr>
        <w:pStyle w:val="FigureTitle"/>
      </w:pPr>
      <w:r>
        <w:t xml:space="preserve">Table 3</w:t>
      </w:r>
    </w:p>
    <w:bookmarkEnd w:id="150"/>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51" w:name="apafg-fig2"/>
    <w:p>
      <w:pPr>
        <w:pStyle w:val="FigureTitle"/>
      </w:pPr>
      <w:r>
        <w:t xml:space="preserve">Figure 2</w:t>
      </w:r>
    </w:p>
    <w:bookmarkEnd w:id="151"/>
    <w:p>
      <w:pPr>
        <w:pStyle w:val="Caption"/>
      </w:pPr>
      <w:r>
        <w:t xml:space="preserve">Scree Plot</w:t>
      </w:r>
    </w:p>
    <w:p>
      <w:pPr>
        <w:pStyle w:val="FigureWithoutNote"/>
      </w:pPr>
      <w:r>
        <w:drawing>
          <wp:inline>
            <wp:extent cx="5943600" cy="5943600"/>
            <wp:effectExtent b="0" l="0" r="0" t="0"/>
            <wp:docPr descr="" title="" id="153" name="Picture"/>
            <a:graphic>
              <a:graphicData uri="http://schemas.openxmlformats.org/drawingml/2006/picture">
                <pic:pic>
                  <pic:nvPicPr>
                    <pic:cNvPr descr="draft_paper_files/figure-docx/apafg-fig2-1.png" id="154" name="Picture"/>
                    <pic:cNvPicPr>
                      <a:picLocks noChangeArrowheads="1" noChangeAspect="1"/>
                    </pic:cNvPicPr>
                  </pic:nvPicPr>
                  <pic:blipFill>
                    <a:blip r:embed="rId15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5" w:name="apafg-fig3"/>
    <w:p>
      <w:pPr>
        <w:pStyle w:val="FigureTitle"/>
      </w:pPr>
      <w:r>
        <w:t xml:space="preserve">Figure 3</w:t>
      </w:r>
    </w:p>
    <w:bookmarkEnd w:id="155"/>
    <w:p>
      <w:pPr>
        <w:pStyle w:val="Caption"/>
      </w:pPr>
      <w:r>
        <w:t xml:space="preserve">Parallel Analysis</w:t>
      </w:r>
    </w:p>
    <w:p>
      <w:pPr>
        <w:pStyle w:val="FigureWithoutNote"/>
      </w:pPr>
      <w:r>
        <w:drawing>
          <wp:inline>
            <wp:extent cx="5943600" cy="5943600"/>
            <wp:effectExtent b="0" l="0" r="0" t="0"/>
            <wp:docPr descr="" title="" id="157" name="Picture"/>
            <a:graphic>
              <a:graphicData uri="http://schemas.openxmlformats.org/drawingml/2006/picture">
                <pic:pic>
                  <pic:nvPicPr>
                    <pic:cNvPr descr="draft_paper_files/figure-docx/apafg-fig3-1.png" id="158" name="Picture"/>
                    <pic:cNvPicPr>
                      <a:picLocks noChangeArrowheads="1" noChangeAspect="1"/>
                    </pic:cNvPicPr>
                  </pic:nvPicPr>
                  <pic:blipFill>
                    <a:blip r:embed="rId15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9" w:name="apatb-table4"/>
    <w:p>
      <w:pPr>
        <w:pStyle w:val="FigureTitle"/>
      </w:pPr>
      <w:r>
        <w:t xml:space="preserve">Table 4</w:t>
      </w:r>
    </w:p>
    <w:bookmarkEnd w:id="159"/>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bookmarkStart w:id="160" w:name="apatb-table5"/>
    <w:p>
      <w:pPr>
        <w:pStyle w:val="FigureTitle"/>
      </w:pPr>
      <w:r>
        <w:t xml:space="preserve">Table 5</w:t>
      </w:r>
    </w:p>
    <w:bookmarkEnd w:id="160"/>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61" w:name="apafg-fig4"/>
    <w:p>
      <w:pPr>
        <w:pStyle w:val="FigureTitle"/>
      </w:pPr>
      <w:r>
        <w:t xml:space="preserve">Figure 4</w:t>
      </w:r>
    </w:p>
    <w:bookmarkEnd w:id="161"/>
    <w:p>
      <w:pPr>
        <w:pStyle w:val="Caption"/>
      </w:pPr>
      <w:r>
        <w:t xml:space="preserve">Item Probability Functions of RWA Scale</w:t>
      </w:r>
    </w:p>
    <w:p>
      <w:pPr>
        <w:pStyle w:val="FigureWithoutNote"/>
      </w:pPr>
      <w:r>
        <w:drawing>
          <wp:inline>
            <wp:extent cx="5943600" cy="5943600"/>
            <wp:effectExtent b="0" l="0" r="0" t="0"/>
            <wp:docPr descr="" title="" id="163" name="Picture"/>
            <a:graphic>
              <a:graphicData uri="http://schemas.openxmlformats.org/drawingml/2006/picture">
                <pic:pic>
                  <pic:nvPicPr>
                    <pic:cNvPr descr="draft_paper_files/figure-docx/apafg-fig4-1.png" id="164" name="Picture"/>
                    <pic:cNvPicPr>
                      <a:picLocks noChangeArrowheads="1" noChangeAspect="1"/>
                    </pic:cNvPicPr>
                  </pic:nvPicPr>
                  <pic:blipFill>
                    <a:blip r:embed="rId16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5" w:name="apafg-fig5"/>
    <w:p>
      <w:pPr>
        <w:pStyle w:val="FigureTitle"/>
      </w:pPr>
      <w:r>
        <w:t xml:space="preserve">Figure 5</w:t>
      </w:r>
    </w:p>
    <w:bookmarkEnd w:id="165"/>
    <w:p>
      <w:pPr>
        <w:pStyle w:val="Caption"/>
      </w:pPr>
      <w:r>
        <w:t xml:space="preserve">Item Information Curves of the RWA Scale</w:t>
      </w:r>
    </w:p>
    <w:p>
      <w:pPr>
        <w:pStyle w:val="FigureWithoutNote"/>
      </w:pPr>
      <w:r>
        <w:drawing>
          <wp:inline>
            <wp:extent cx="5943600" cy="5943600"/>
            <wp:effectExtent b="0" l="0" r="0" t="0"/>
            <wp:docPr descr="" title="" id="167" name="Picture"/>
            <a:graphic>
              <a:graphicData uri="http://schemas.openxmlformats.org/drawingml/2006/picture">
                <pic:pic>
                  <pic:nvPicPr>
                    <pic:cNvPr descr="draft_paper_files/figure-docx/apafg-fig5-1.png" id="168" name="Picture"/>
                    <pic:cNvPicPr>
                      <a:picLocks noChangeArrowheads="1" noChangeAspect="1"/>
                    </pic:cNvPicPr>
                  </pic:nvPicPr>
                  <pic:blipFill>
                    <a:blip r:embed="rId16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9" w:name="apafg-fig6"/>
    <w:p>
      <w:pPr>
        <w:pStyle w:val="FigureTitle"/>
      </w:pPr>
      <w:r>
        <w:t xml:space="preserve">Figure 6</w:t>
      </w:r>
    </w:p>
    <w:bookmarkEnd w:id="169"/>
    <w:p>
      <w:pPr>
        <w:pStyle w:val="Caption"/>
      </w:pPr>
      <w:r>
        <w:t xml:space="preserve">Test Information Curve of the RWA Scale</w:t>
      </w:r>
    </w:p>
    <w:p>
      <w:pPr>
        <w:pStyle w:val="FigureWithoutNote"/>
      </w:pPr>
      <w:r>
        <w:drawing>
          <wp:inline>
            <wp:extent cx="5943600" cy="5943600"/>
            <wp:effectExtent b="0" l="0" r="0" t="0"/>
            <wp:docPr descr="" title="" id="171" name="Picture"/>
            <a:graphic>
              <a:graphicData uri="http://schemas.openxmlformats.org/drawingml/2006/picture">
                <pic:pic>
                  <pic:nvPicPr>
                    <pic:cNvPr descr="draft_paper_files/figure-docx/apafg-fig6-1.png" id="172" name="Picture"/>
                    <pic:cNvPicPr>
                      <a:picLocks noChangeArrowheads="1" noChangeAspect="1"/>
                    </pic:cNvPicPr>
                  </pic:nvPicPr>
                  <pic:blipFill>
                    <a:blip r:embed="rId170"/>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3" w:name="apafg-fig7"/>
    <w:p>
      <w:pPr>
        <w:pStyle w:val="FigureTitle"/>
      </w:pPr>
      <w:r>
        <w:t xml:space="preserve">Figure 7</w:t>
      </w:r>
    </w:p>
    <w:bookmarkEnd w:id="173"/>
    <w:p>
      <w:pPr>
        <w:pStyle w:val="Caption"/>
      </w:pPr>
      <w:r>
        <w:t xml:space="preserve">Reliability of the RWA Scale Given to the θ Level</w:t>
      </w:r>
    </w:p>
    <w:p>
      <w:pPr>
        <w:pStyle w:val="FigureWithoutNote"/>
      </w:pPr>
      <w:r>
        <w:drawing>
          <wp:inline>
            <wp:extent cx="5943600" cy="5943600"/>
            <wp:effectExtent b="0" l="0" r="0" t="0"/>
            <wp:docPr descr="" title="" id="175" name="Picture"/>
            <a:graphic>
              <a:graphicData uri="http://schemas.openxmlformats.org/drawingml/2006/picture">
                <pic:pic>
                  <pic:nvPicPr>
                    <pic:cNvPr descr="draft_paper_files/figure-docx/apafg-fig7-1.png" id="176" name="Picture"/>
                    <pic:cNvPicPr>
                      <a:picLocks noChangeArrowheads="1" noChangeAspect="1"/>
                    </pic:cNvPicPr>
                  </pic:nvPicPr>
                  <pic:blipFill>
                    <a:blip r:embed="rId174"/>
                    <a:stretch>
                      <a:fillRect/>
                    </a:stretch>
                  </pic:blipFill>
                  <pic:spPr bwMode="auto">
                    <a:xfrm>
                      <a:off x="0" y="0"/>
                      <a:ext cx="5943600" cy="5943600"/>
                    </a:xfrm>
                    <a:prstGeom prst="rect">
                      <a:avLst/>
                    </a:prstGeom>
                    <a:noFill/>
                    <a:ln w="9525">
                      <a:noFill/>
                      <a:headEnd/>
                      <a:tailEnd/>
                    </a:ln>
                  </pic:spPr>
                </pic:pic>
              </a:graphicData>
            </a:graphic>
          </wp:inline>
        </w:drawing>
      </w:r>
    </w:p>
    <w:bookmarkEnd w:id="177"/>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46" Target="media/rId146.png" /><Relationship Type="http://schemas.openxmlformats.org/officeDocument/2006/relationships/image" Id="rId21" Target="media/rId21.svgz"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hyperlink" Id="rId35" Target="http://openpsychometrics.org/_rawdata/" TargetMode="External" /><Relationship Type="http://schemas.openxmlformats.org/officeDocument/2006/relationships/hyperlink" Id="rId119" Target="https://doi.org/10.1007/978-1-4757-2691-6_5" TargetMode="External" /><Relationship Type="http://schemas.openxmlformats.org/officeDocument/2006/relationships/hyperlink" Id="rId141" Target="https://doi.org/10.1007/978-3-319-07794-9" TargetMode="External" /><Relationship Type="http://schemas.openxmlformats.org/officeDocument/2006/relationships/hyperlink" Id="rId123" Target="https://doi.org/10.1007/978-3-319-28099-8_1262-1" TargetMode="External" /><Relationship Type="http://schemas.openxmlformats.org/officeDocument/2006/relationships/hyperlink" Id="rId87"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1" Target="https://doi.org/10.1007/s11336-005-1295-9" TargetMode="External" /><Relationship Type="http://schemas.openxmlformats.org/officeDocument/2006/relationships/hyperlink" Id="rId128" Target="https://doi.org/10.1007/s11336-008-9101-0" TargetMode="External" /><Relationship Type="http://schemas.openxmlformats.org/officeDocument/2006/relationships/hyperlink" Id="rId139" Target="https://doi.org/10.1016/S0169-7161(06)26003-6" TargetMode="External" /><Relationship Type="http://schemas.openxmlformats.org/officeDocument/2006/relationships/hyperlink" Id="rId126"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9"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8" Target="https://doi.org/10.1037/cap0000236" TargetMode="External" /><Relationship Type="http://schemas.openxmlformats.org/officeDocument/2006/relationships/hyperlink" Id="rId80" Target="https://doi.org/10.1037/cbs0000069" TargetMode="External" /><Relationship Type="http://schemas.openxmlformats.org/officeDocument/2006/relationships/hyperlink" Id="rId103" Target="https://doi.org/10.1037/met0000144" TargetMode="External" /><Relationship Type="http://schemas.openxmlformats.org/officeDocument/2006/relationships/hyperlink" Id="rId109" Target="https://doi.org/10.1038/s44159-023-00161-4" TargetMode="External" /><Relationship Type="http://schemas.openxmlformats.org/officeDocument/2006/relationships/hyperlink" Id="rId71" Target="https://doi.org/10.1038/s44271-023-00026-9" TargetMode="External" /><Relationship Type="http://schemas.openxmlformats.org/officeDocument/2006/relationships/hyperlink" Id="rId93" Target="https://doi.org/10.1080/0969594X.2016.1156645" TargetMode="External" /><Relationship Type="http://schemas.openxmlformats.org/officeDocument/2006/relationships/hyperlink" Id="rId91" Target="https://doi.org/10.1111/jedm.12000" TargetMode="External" /><Relationship Type="http://schemas.openxmlformats.org/officeDocument/2006/relationships/hyperlink" Id="rId67" Target="https://doi.org/10.1111/pops.12022" TargetMode="External" /><Relationship Type="http://schemas.openxmlformats.org/officeDocument/2006/relationships/hyperlink" Id="rId96" Target="https://doi.org/10.1146/annurev-orgpsych-012420-061705" TargetMode="External" /><Relationship Type="http://schemas.openxmlformats.org/officeDocument/2006/relationships/hyperlink" Id="rId112" Target="https://doi.org/10.1163/24689300-01401006" TargetMode="External" /><Relationship Type="http://schemas.openxmlformats.org/officeDocument/2006/relationships/hyperlink" Id="rId82" Target="https://doi.org/10.1177/00131644221111838" TargetMode="External" /><Relationship Type="http://schemas.openxmlformats.org/officeDocument/2006/relationships/hyperlink" Id="rId61" Target="https://doi.org/10.1177/0146621616677520" TargetMode="External" /><Relationship Type="http://schemas.openxmlformats.org/officeDocument/2006/relationships/hyperlink" Id="rId137" Target="https://doi.org/10.1177/014662168400800201" TargetMode="External" /><Relationship Type="http://schemas.openxmlformats.org/officeDocument/2006/relationships/hyperlink" Id="rId84"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6" Target="https://doi.org/10.1177/014662169201600206" TargetMode="External" /><Relationship Type="http://schemas.openxmlformats.org/officeDocument/2006/relationships/hyperlink" Id="rId78" Target="https://doi.org/10.1177/1948550617693063" TargetMode="External" /><Relationship Type="http://schemas.openxmlformats.org/officeDocument/2006/relationships/hyperlink" Id="rId89" Target="https://doi.org/10.1177/2515245919882903" TargetMode="External" /><Relationship Type="http://schemas.openxmlformats.org/officeDocument/2006/relationships/hyperlink" Id="rId76" Target="https://doi.org/10.1177/2515245920952393" TargetMode="External" /><Relationship Type="http://schemas.openxmlformats.org/officeDocument/2006/relationships/hyperlink" Id="rId117" Target="https://doi.org/10.1186/s40536-016-0019-1" TargetMode="External" /><Relationship Type="http://schemas.openxmlformats.org/officeDocument/2006/relationships/hyperlink" Id="rId65"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4"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32" Target="https://doi.org/10.4324/9780203861264.ch3" TargetMode="External" /><Relationship Type="http://schemas.openxmlformats.org/officeDocument/2006/relationships/hyperlink" Id="rId130" Target="https://doi.org/10.7275/v2gd-4441" TargetMode="External" /><Relationship Type="http://schemas.openxmlformats.org/officeDocument/2006/relationships/hyperlink" Id="rId74"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19" Target="https://doi.org/10.1007/978-1-4757-2691-6_5" TargetMode="External" /><Relationship Type="http://schemas.openxmlformats.org/officeDocument/2006/relationships/hyperlink" Id="rId141" Target="https://doi.org/10.1007/978-3-319-07794-9" TargetMode="External" /><Relationship Type="http://schemas.openxmlformats.org/officeDocument/2006/relationships/hyperlink" Id="rId123" Target="https://doi.org/10.1007/978-3-319-28099-8_1262-1" TargetMode="External" /><Relationship Type="http://schemas.openxmlformats.org/officeDocument/2006/relationships/hyperlink" Id="rId87"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1" Target="https://doi.org/10.1007/s11336-005-1295-9" TargetMode="External" /><Relationship Type="http://schemas.openxmlformats.org/officeDocument/2006/relationships/hyperlink" Id="rId128" Target="https://doi.org/10.1007/s11336-008-9101-0" TargetMode="External" /><Relationship Type="http://schemas.openxmlformats.org/officeDocument/2006/relationships/hyperlink" Id="rId139" Target="https://doi.org/10.1016/S0169-7161(06)26003-6" TargetMode="External" /><Relationship Type="http://schemas.openxmlformats.org/officeDocument/2006/relationships/hyperlink" Id="rId126"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9"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8" Target="https://doi.org/10.1037/cap0000236" TargetMode="External" /><Relationship Type="http://schemas.openxmlformats.org/officeDocument/2006/relationships/hyperlink" Id="rId80" Target="https://doi.org/10.1037/cbs0000069" TargetMode="External" /><Relationship Type="http://schemas.openxmlformats.org/officeDocument/2006/relationships/hyperlink" Id="rId103" Target="https://doi.org/10.1037/met0000144" TargetMode="External" /><Relationship Type="http://schemas.openxmlformats.org/officeDocument/2006/relationships/hyperlink" Id="rId109" Target="https://doi.org/10.1038/s44159-023-00161-4" TargetMode="External" /><Relationship Type="http://schemas.openxmlformats.org/officeDocument/2006/relationships/hyperlink" Id="rId71" Target="https://doi.org/10.1038/s44271-023-00026-9" TargetMode="External" /><Relationship Type="http://schemas.openxmlformats.org/officeDocument/2006/relationships/hyperlink" Id="rId93" Target="https://doi.org/10.1080/0969594X.2016.1156645" TargetMode="External" /><Relationship Type="http://schemas.openxmlformats.org/officeDocument/2006/relationships/hyperlink" Id="rId91" Target="https://doi.org/10.1111/jedm.12000" TargetMode="External" /><Relationship Type="http://schemas.openxmlformats.org/officeDocument/2006/relationships/hyperlink" Id="rId67" Target="https://doi.org/10.1111/pops.12022" TargetMode="External" /><Relationship Type="http://schemas.openxmlformats.org/officeDocument/2006/relationships/hyperlink" Id="rId96" Target="https://doi.org/10.1146/annurev-orgpsych-012420-061705" TargetMode="External" /><Relationship Type="http://schemas.openxmlformats.org/officeDocument/2006/relationships/hyperlink" Id="rId112" Target="https://doi.org/10.1163/24689300-01401006" TargetMode="External" /><Relationship Type="http://schemas.openxmlformats.org/officeDocument/2006/relationships/hyperlink" Id="rId82" Target="https://doi.org/10.1177/00131644221111838" TargetMode="External" /><Relationship Type="http://schemas.openxmlformats.org/officeDocument/2006/relationships/hyperlink" Id="rId61" Target="https://doi.org/10.1177/0146621616677520" TargetMode="External" /><Relationship Type="http://schemas.openxmlformats.org/officeDocument/2006/relationships/hyperlink" Id="rId137" Target="https://doi.org/10.1177/014662168400800201" TargetMode="External" /><Relationship Type="http://schemas.openxmlformats.org/officeDocument/2006/relationships/hyperlink" Id="rId84"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6" Target="https://doi.org/10.1177/014662169201600206" TargetMode="External" /><Relationship Type="http://schemas.openxmlformats.org/officeDocument/2006/relationships/hyperlink" Id="rId78" Target="https://doi.org/10.1177/1948550617693063" TargetMode="External" /><Relationship Type="http://schemas.openxmlformats.org/officeDocument/2006/relationships/hyperlink" Id="rId89" Target="https://doi.org/10.1177/2515245919882903" TargetMode="External" /><Relationship Type="http://schemas.openxmlformats.org/officeDocument/2006/relationships/hyperlink" Id="rId76" Target="https://doi.org/10.1177/2515245920952393" TargetMode="External" /><Relationship Type="http://schemas.openxmlformats.org/officeDocument/2006/relationships/hyperlink" Id="rId117" Target="https://doi.org/10.1186/s40536-016-0019-1" TargetMode="External" /><Relationship Type="http://schemas.openxmlformats.org/officeDocument/2006/relationships/hyperlink" Id="rId65"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4"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32" Target="https://doi.org/10.4324/9780203861264.ch3" TargetMode="External" /><Relationship Type="http://schemas.openxmlformats.org/officeDocument/2006/relationships/hyperlink" Id="rId130" Target="https://doi.org/10.7275/v2gd-4441" TargetMode="External" /><Relationship Type="http://schemas.openxmlformats.org/officeDocument/2006/relationships/hyperlink" Id="rId74"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2024-01-17T12:49:25Z</dcterms:created>
  <dcterms:modified xsi:type="dcterms:W3CDTF">2024-01-17T12:49:25Z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