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39.png" ContentType="image/png"/>
  <Override PartName="/word/media/rId21.svgz" ContentType="image/svg+xml"/>
  <Override PartName="/word/media/rId145.png" ContentType="image/png"/>
  <Override PartName="/word/media/rId149.png" ContentType="image/png"/>
  <Override PartName="/word/media/rId155.png" ContentType="image/png"/>
  <Override PartName="/word/media/rId159.png" ContentType="image/png"/>
  <Override PartName="/word/media/rId163.png" ContentType="image/png"/>
  <Override PartName="/word/media/rId1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An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preparation"/>
    <w:p>
      <w:pPr>
        <w:pStyle w:val="Heading2"/>
      </w:pPr>
      <w:r>
        <w:t xml:space="preserve">Step 1: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2023a)</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StringTok"/>
        </w:rPr>
        <w:t xml:space="preserve">"psych"</w:t>
      </w:r>
      <w:r>
        <w:rPr>
          <w:rStyle w:val="NormalTok"/>
        </w:rPr>
        <w:t xml:space="preserve">, </w:t>
      </w:r>
      <w:r>
        <w:rPr>
          <w:rStyle w:val="StringTok"/>
        </w:rPr>
        <w:t xml:space="preserve">"devtools"</w:t>
      </w:r>
      <w:r>
        <w:rPr>
          <w:rStyle w:val="NormalTok"/>
        </w:rPr>
        <w:t xml:space="preserve">, </w:t>
      </w:r>
      <w:r>
        <w:rPr>
          <w:rStyle w:val="StringTok"/>
        </w:rPr>
        <w:t xml:space="preserve">"mirt"</w:t>
      </w:r>
      <w:r>
        <w:rPr>
          <w:rStyle w:val="NormalTok"/>
        </w:rPr>
        <w:t xml:space="preserve">, </w:t>
      </w:r>
      <w:r>
        <w:rPr>
          <w:rStyle w:val="StringTok"/>
        </w:rPr>
        <w:t xml:space="preserve">"caret"</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installation through GitHub repository</w:t>
      </w:r>
    </w:p>
    <w:p>
      <w:pPr>
        <w:pStyle w:val="FirstParagraph"/>
      </w:pPr>
      <w:r>
        <w:t xml:space="preserve">The above command also automatically requests to install dependency packages. Note that we install</w:t>
      </w:r>
      <w:r>
        <w:t xml:space="preserve"> </w:t>
      </w:r>
      <w:r>
        <w:rPr>
          <w:rStyle w:val="VerbatimChar"/>
        </w:rPr>
        <w:t xml:space="preserve">ggmirt</w:t>
      </w:r>
      <w:r>
        <w:t xml:space="preserve"> </w:t>
      </w:r>
      <w:r>
        <w:t xml:space="preserve">directly from its GitHub repository because</w:t>
      </w:r>
      <w:r>
        <w:t xml:space="preserve"> </w:t>
      </w:r>
      <w:r>
        <w:rPr>
          <w:rStyle w:val="VerbatimChar"/>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this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represents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2023b)</w:t>
      </w:r>
      <w:r>
        <w:t xml:space="preserve"> </w:t>
      </w:r>
      <w:r>
        <w:t xml:space="preserve">by typing a simple command:</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Examining the proportion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 it is very likely that</w:t>
      </w:r>
      <w:r>
        <w:t xml:space="preserve"> </w:t>
      </w:r>
      <w:r>
        <w:rPr>
          <w:rStyle w:val="VerbatimChar"/>
        </w:rPr>
        <w:t xml:space="preserve">0</w:t>
      </w:r>
      <w:r>
        <w:t xml:space="preserve"> </w:t>
      </w:r>
      <w:r>
        <w:t xml:space="preserve">is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Table 2 again, mean score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items’ mean do not drastically vary and have</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a key assumption of an IRT model, namely unidimensionality. To test the number of latent factors of an item pool,</w:t>
      </w:r>
      <w:r>
        <w:t xml:space="preserve"> </w:t>
      </w:r>
      <w:r>
        <w:t xml:space="preserve">De Ayala and Hertzog (1991)</w:t>
      </w:r>
      <w:r>
        <w:t xml:space="preserve"> </w:t>
      </w:r>
      <w:r>
        <w:t xml:space="preserve">suggests three alternatives, which are multidimensional scaling (MDS), EFA, and CFA. In this tutorial, we decide to use EFA, and</w:t>
      </w:r>
      <w:r>
        <w:t xml:space="preserve"> </w:t>
      </w:r>
      <w:r>
        <w:rPr>
          <w:iCs/>
          <w:i/>
        </w:rPr>
        <w:t xml:space="preserve">psych</w:t>
      </w:r>
      <w:r>
        <w:t xml:space="preserve"> </w:t>
      </w:r>
      <w:r>
        <w:t xml:space="preserve">package provides a very efficient way to do this is by calling this simple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this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in order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this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a Pearson’s correlation matrix as an input. Therefore, we first need to create a Pearson’s correlation matrix from our data frame, and then, run a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total variance is explained by a latent factor. Since the latent factor can account for more than 50% of variance, we can reasonably assume that the latent factor underlying our data is indeed unidimensional. To better visualize the eigenvalues of the EFA, we can draw a scree plot using these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1 may not be meaningful and could just represent noise. Therefore, the scree plot strengthens our assumption that the item pool is, indeed, unidimensional.</w:t>
      </w:r>
    </w:p>
    <w:p>
      <w:pPr>
        <w:pStyle w:val="BodyText"/>
      </w:pPr>
      <w:r>
        <w:t xml:space="preserve">To support unidimensionality assumption, we can also run a parallel analysis by running this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w:t>
      </w:r>
    </w:p>
    <w:p>
      <w:pPr>
        <w:pStyle w:val="FirstParagraph"/>
      </w:pPr>
      <w:r>
        <w:t xml:space="preserve">Readers may find a plot similar to Figure 3 should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this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Eigenvalues for the first factor is much larger than the its adjacent factor (</w:t>
      </w:r>
      <w:r>
        <w:rPr>
          <w:rStyle w:val="VerbatimChar"/>
        </w:rPr>
        <w:t xml:space="preserve">12.225/0.843</w:t>
      </w:r>
      <w:r>
        <w:t xml:space="preserve">), strengthening the evidence for unidimensionality.</w:t>
      </w:r>
    </w:p>
    <w:bookmarkEnd w:id="38"/>
    <w:bookmarkStart w:id="39" w:name="Xcdd335fbc80fed5396098f166b48cb0c87a0ee4"/>
    <w:p>
      <w:pPr>
        <w:pStyle w:val="Heading2"/>
      </w:pPr>
      <w:r>
        <w:t xml:space="preserve">Step 4: Model Estimation, Parameters, and Fit Statistics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lalalala</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w:t>
      </w:r>
      <w:r>
        <w:rPr>
          <w:rStyle w:val="NormalTok"/>
        </w:rPr>
        <w:t xml:space="preserve">rwa, </w:t>
      </w:r>
      <w:r>
        <w:rPr>
          <w:rStyle w:val="DecValTok"/>
        </w:rPr>
        <w:t xml:space="preserve">1</w:t>
      </w:r>
      <w:r>
        <w:rPr>
          <w:rStyle w:val="NormalTok"/>
        </w:rPr>
        <w:t xml:space="preserve">, </w:t>
      </w:r>
      <w:r>
        <w:rPr>
          <w:rStyle w:val="AttributeTok"/>
        </w:rPr>
        <w:t xml:space="preserve">model=</w:t>
      </w:r>
      <w:r>
        <w:rPr>
          <w:rStyle w:val="NormalTok"/>
        </w:rPr>
        <w:t xml:space="preserve">model, </w:t>
      </w:r>
      <w:r>
        <w:rPr>
          <w:rStyle w:val="AttributeTok"/>
        </w:rPr>
        <w:t xml:space="preserve">itemtype=</w:t>
      </w:r>
      <w:r>
        <w:rPr>
          <w:rStyle w:val="StringTok"/>
        </w:rPr>
        <w:t xml:space="preserve">"graded"</w:t>
      </w:r>
      <w:r>
        <w:rPr>
          <w:rStyle w:val="NormalTok"/>
        </w:rPr>
        <w:t xml:space="preserve">, </w:t>
      </w:r>
      <w:r>
        <w:rPr>
          <w:rStyle w:val="AttributeTok"/>
        </w:rPr>
        <w:t xml:space="preserve">SE=</w:t>
      </w:r>
      <w:r>
        <w:rPr>
          <w:rStyle w:val="NormalTok"/>
        </w:rPr>
        <w:t xml:space="preserve">T, </w:t>
      </w:r>
      <w:r>
        <w:rPr>
          <w:rStyle w:val="AttributeTok"/>
        </w:rPr>
        <w:t xml:space="preserve">verbose=</w:t>
      </w:r>
      <w:r>
        <w:rPr>
          <w:rStyle w:val="NormalTok"/>
        </w:rPr>
        <w:t xml:space="preserve">F)</w:t>
      </w:r>
    </w:p>
    <w:p>
      <w:pPr>
        <w:pStyle w:val="FirstParagraph"/>
      </w:pPr>
      <w:r>
        <w:t xml:space="preserve">llalalala</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w:t>
      </w:r>
      <w:r>
        <w:rPr>
          <w:rStyle w:val="NormalTok"/>
        </w:rPr>
        <w:t xml:space="preserve">T, </w:t>
      </w:r>
      <w:r>
        <w:rPr>
          <w:rStyle w:val="AttributeTok"/>
        </w:rPr>
        <w:t xml:space="preserve">simplify=</w:t>
      </w:r>
      <w:r>
        <w:rPr>
          <w:rStyle w:val="NormalTok"/>
        </w:rPr>
        <w:t xml:space="preserve">T) </w:t>
      </w:r>
      <w:r>
        <w:rPr>
          <w:rStyle w:val="CommentTok"/>
        </w:rPr>
        <w:t xml:space="preserve"># Storing model parameters in a data frame.</w:t>
      </w:r>
      <w:r>
        <w:br/>
      </w:r>
      <w:r>
        <w:rPr>
          <w:rStyle w:val="FunctionTok"/>
        </w:rPr>
        <w:t xml:space="preserve">print</w:t>
      </w:r>
      <w:r>
        <w:rPr>
          <w:rStyle w:val="NormalTok"/>
        </w:rPr>
        <w:t xml:space="preserve">(coefs) </w:t>
      </w:r>
      <w:r>
        <w:rPr>
          <w:rStyle w:val="CommentTok"/>
        </w:rPr>
        <w:t xml:space="preserve"># Yielding model parameters: item discrimination (a) and threshold (b).</w:t>
      </w:r>
    </w:p>
    <w:p>
      <w:pPr>
        <w:pStyle w:val="FirstParagraph"/>
      </w:pPr>
      <w:r>
        <w:t xml:space="preserve">lalalala</w:t>
      </w:r>
    </w:p>
    <w:p>
      <w:pPr>
        <w:pStyle w:val="SourceCode"/>
      </w:pPr>
      <w:r>
        <w:rPr>
          <w:rStyle w:val="FunctionTok"/>
        </w:rPr>
        <w:t xml:space="preserve">summary</w:t>
      </w:r>
      <w:r>
        <w:rPr>
          <w:rStyle w:val="NormalTok"/>
        </w:rPr>
        <w:t xml:space="preserve">(fit) </w:t>
      </w:r>
    </w:p>
    <w:p>
      <w:pPr>
        <w:pStyle w:val="FirstParagraph"/>
      </w:pPr>
      <w:r>
        <w:t xml:space="preserve">bla bla lhalalala</w:t>
      </w:r>
    </w:p>
    <w:p>
      <w:pPr>
        <w:pStyle w:val="SourceCode"/>
      </w:pPr>
      <w:r>
        <w:rPr>
          <w:rStyle w:val="FunctionTok"/>
        </w:rPr>
        <w:t xml:space="preserve">M2</w:t>
      </w:r>
      <w:r>
        <w:rPr>
          <w:rStyle w:val="NormalTok"/>
        </w:rPr>
        <w:t xml:space="preserve">(fit, </w:t>
      </w:r>
      <w:r>
        <w:rPr>
          <w:rStyle w:val="AttributeTok"/>
        </w:rPr>
        <w:t xml:space="preserve">type=</w:t>
      </w:r>
      <w:r>
        <w:rPr>
          <w:rStyle w:val="StringTok"/>
        </w:rPr>
        <w:t xml:space="preserve">"C2"</w:t>
      </w:r>
      <w:r>
        <w:rPr>
          <w:rStyle w:val="NormalTok"/>
        </w:rPr>
        <w:t xml:space="preserve">)</w:t>
      </w:r>
    </w:p>
    <w:p>
      <w:pPr>
        <w:pStyle w:val="FirstParagraph"/>
      </w:pPr>
      <w:r>
        <w:t xml:space="preserve">lhalalala</w:t>
      </w:r>
    </w:p>
    <w:p>
      <w:pPr>
        <w:pStyle w:val="BodyText"/>
      </w:pPr>
      <w:r>
        <w:t xml:space="preserve">According to our analysis, the model does not fit the data well (</w:t>
      </w:r>
      <w:r>
        <w:rPr>
          <w:iCs/>
          <w:i/>
        </w:rPr>
        <w:t xml:space="preserve">M</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 )</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w:t>
      </w:r>
    </w:p>
    <w:bookmarkEnd w:id="39"/>
    <w:bookmarkStart w:id="40" w:name="step-5-model-residuals"/>
    <w:p>
      <w:pPr>
        <w:pStyle w:val="Heading2"/>
      </w:pPr>
      <w:r>
        <w:t xml:space="preserve">Step 5: Model Residuals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T) </w:t>
      </w:r>
      <w:r>
        <w:rPr>
          <w:rStyle w:val="CommentTok"/>
        </w:rPr>
        <w:t xml:space="preserve"># Extracting values only on the upper side of the diagonal.</w:t>
      </w:r>
      <w:r>
        <w:br/>
      </w: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Defining unusually large residuals (&gt;0.2).</w:t>
      </w:r>
    </w:p>
    <w:p>
      <w:pPr>
        <w:pStyle w:val="FirstParagraph"/>
      </w:pPr>
      <w:r>
        <w:t xml:space="preserve">lhalalala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lhalalala</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r>
        <w:br/>
      </w: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Detecting problematic correlation pairs.</w:t>
      </w:r>
    </w:p>
    <w:bookmarkEnd w:id="40"/>
    <w:bookmarkStart w:id="41" w:name="step-6-irt-plots"/>
    <w:p>
      <w:pPr>
        <w:pStyle w:val="Heading2"/>
      </w:pPr>
      <w:r>
        <w:t xml:space="preserve">Step 6: IRT Plots</w:t>
      </w:r>
    </w:p>
    <w:p>
      <w:pPr>
        <w:pStyle w:val="FirstParagraph"/>
      </w:pPr>
      <w:r>
        <w:t xml:space="preserve">Now spit out the</w:t>
      </w:r>
    </w:p>
    <w:p>
      <w:pPr>
        <w:pStyle w:val="SourceCode"/>
      </w:pPr>
      <w:r>
        <w:rPr>
          <w:rStyle w:val="FunctionTok"/>
        </w:rPr>
        <w:t xml:space="preserve">tracePlot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"Category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Options"</w:t>
      </w:r>
      <w:r>
        <w:rPr>
          <w:rStyle w:val="NormalTok"/>
        </w:rPr>
        <w:t xml:space="preserve">)</w:t>
      </w:r>
    </w:p>
    <w:p>
      <w:pPr>
        <w:pStyle w:val="FirstParagraph"/>
      </w:pPr>
      <w:r>
        <w:t xml:space="preserve">lhalalala</w:t>
      </w:r>
    </w:p>
    <w:p>
      <w:pPr>
        <w:pStyle w:val="SourceCode"/>
      </w:pPr>
      <w:r>
        <w:rPr>
          <w:rStyle w:val="FunctionTok"/>
        </w:rPr>
        <w:t xml:space="preserve">itemInfoPlot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"Item Information Curves of the RWA Scale"</w:t>
      </w:r>
      <w:r>
        <w:rPr>
          <w:rStyle w:val="NormalTok"/>
        </w:rPr>
        <w:t xml:space="preserve">)</w:t>
      </w:r>
    </w:p>
    <w:p>
      <w:pPr>
        <w:pStyle w:val="FirstParagraph"/>
      </w:pPr>
      <w:r>
        <w:t xml:space="preserve">lhalalala</w:t>
      </w:r>
    </w:p>
    <w:p>
      <w:pPr>
        <w:pStyle w:val="SourceCode"/>
      </w:pPr>
      <w:r>
        <w:rPr>
          <w:rStyle w:val="FunctionTok"/>
        </w:rPr>
        <w:t xml:space="preserve">testInfoPlot</w:t>
      </w:r>
      <w:r>
        <w:rPr>
          <w:rStyle w:val="NormalTok"/>
        </w:rPr>
        <w:t xml:space="preserve">(fit, </w:t>
      </w:r>
      <w:r>
        <w:rPr>
          <w:rStyle w:val="AttributeTok"/>
        </w:rPr>
        <w:t xml:space="preserve">title=</w:t>
      </w:r>
      <w:r>
        <w:rPr>
          <w:rStyle w:val="StringTok"/>
        </w:rPr>
        <w:t xml:space="preserve">"Test Information Curve of the RWA Scale"</w:t>
      </w:r>
      <w:r>
        <w:rPr>
          <w:rStyle w:val="NormalTok"/>
        </w:rPr>
        <w:t xml:space="preserve">)</w:t>
      </w:r>
    </w:p>
    <w:bookmarkEnd w:id="41"/>
    <w:bookmarkStart w:id="42" w:name="step-7-computing-reliability"/>
    <w:p>
      <w:pPr>
        <w:pStyle w:val="Heading2"/>
      </w:pPr>
      <w:r>
        <w:t xml:space="preserve">Step 7: Computing Reliability</w:t>
      </w:r>
    </w:p>
    <w:p>
      <w:pPr>
        <w:pStyle w:val="SourceCode"/>
      </w:pPr>
      <w:r>
        <w:rPr>
          <w:rStyle w:val="NormalTok"/>
        </w:rPr>
        <w:t xml:space="preserve">m_rel </w:t>
      </w:r>
      <w:r>
        <w:rPr>
          <w:rStyle w:val="OtherTok"/>
        </w:rPr>
        <w:t xml:space="preserve">&lt;-</w:t>
      </w:r>
      <w:r>
        <w:rPr>
          <w:rStyle w:val="NormalTok"/>
        </w:rPr>
        <w:t xml:space="preserve"> </w:t>
      </w:r>
      <w:r>
        <w:rPr>
          <w:rStyle w:val="FunctionTok"/>
        </w:rPr>
        <w:t xml:space="preserve">marginal_rxx</w:t>
      </w:r>
      <w:r>
        <w:rPr>
          <w:rStyle w:val="NormalTok"/>
        </w:rPr>
        <w:t xml:space="preserve">(fit)</w:t>
      </w:r>
    </w:p>
    <w:p>
      <w:pPr>
        <w:pStyle w:val="FirstParagraph"/>
      </w:pPr>
      <w:r>
        <w:t xml:space="preserve">lhalalala</w:t>
      </w:r>
    </w:p>
    <w:p>
      <w:pPr>
        <w:pStyle w:val="SourceCode"/>
      </w:pPr>
      <w:r>
        <w:rPr>
          <w:rStyle w:val="FunctionTok"/>
        </w:rPr>
        <w:t xml:space="preserve">conRelPlot</w:t>
      </w:r>
      <w:r>
        <w:rPr>
          <w:rStyle w:val="NormalTok"/>
        </w:rPr>
        <w:t xml:space="preserve">(fit, </w:t>
      </w:r>
      <w:r>
        <w:rPr>
          <w:rStyle w:val="AttributeTok"/>
        </w:rPr>
        <w:t xml:space="preserve">title=</w:t>
      </w:r>
      <w:r>
        <w:rPr>
          <w:rStyle w:val="StringTok"/>
        </w:rPr>
        <w:t xml:space="preserve">"Reliability of the RWA Scale Given to the θ Level"</w:t>
      </w:r>
      <w:r>
        <w:rPr>
          <w:rStyle w:val="NormalTok"/>
        </w:rPr>
        <w:t xml:space="preserve">)</w:t>
      </w:r>
    </w:p>
    <w:p>
      <w:pPr>
        <w:pStyle w:val="FirstParagraph"/>
      </w:pPr>
      <w:r>
        <w:t xml:space="preserve">lalalala</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T) </w:t>
      </w:r>
      <w:r>
        <w:rPr>
          <w:rStyle w:val="CommentTok"/>
        </w:rPr>
        <w:t xml:space="preserve"># Extracting the estimated theta score of each participant.</w:t>
      </w:r>
      <w:r>
        <w:br/>
      </w:r>
      <w:r>
        <w:rPr>
          <w:rStyle w:val="NormalTok"/>
        </w:rPr>
        <w:t xml:space="preserve">e_rel </w:t>
      </w:r>
      <w:r>
        <w:rPr>
          <w:rStyle w:val="OtherTok"/>
        </w:rPr>
        <w:t xml:space="preserve">&lt;-</w:t>
      </w:r>
      <w:r>
        <w:rPr>
          <w:rStyle w:val="NormalTok"/>
        </w:rPr>
        <w:t xml:space="preserve"> </w:t>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lhalalala</w:t>
      </w:r>
    </w:p>
    <w:p>
      <w:pPr>
        <w:pStyle w:val="SourceCode"/>
      </w:pPr>
      <w:r>
        <w:rPr>
          <w:rStyle w:val="FunctionTok"/>
        </w:rPr>
        <w:t xml:space="preserve">omega</w:t>
      </w:r>
      <w:r>
        <w:rPr>
          <w:rStyle w:val="NormalTok"/>
        </w:rPr>
        <w:t xml:space="preserve">(rwa)</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70" w:name="references"/>
    <w:p>
      <w:pPr>
        <w:pStyle w:val="Heading1"/>
      </w:pPr>
      <w:r>
        <w:t xml:space="preserve">References</w:t>
      </w:r>
    </w:p>
    <w:bookmarkStart w:id="136"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6"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6"/>
    <w:bookmarkStart w:id="58"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7">
        <w:r>
          <w:rPr>
            <w:rStyle w:val="Hyperlink"/>
          </w:rPr>
          <w:t xml:space="preserve">https://doi.org/10.18637/jss.v048.i06</w:t>
        </w:r>
      </w:hyperlink>
    </w:p>
    <w:bookmarkEnd w:id="58"/>
    <w:bookmarkStart w:id="60"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59">
        <w:r>
          <w:rPr>
            <w:rStyle w:val="Hyperlink"/>
          </w:rPr>
          <w:t xml:space="preserve">https://doi.org/10.3102/10769986022003265</w:t>
        </w:r>
      </w:hyperlink>
    </w:p>
    <w:bookmarkEnd w:id="60"/>
    <w:bookmarkStart w:id="61"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1"/>
    <w:bookmarkStart w:id="62"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2"/>
    <w:bookmarkStart w:id="64"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3">
        <w:r>
          <w:rPr>
            <w:rStyle w:val="Hyperlink"/>
          </w:rPr>
          <w:t xml:space="preserve">https://doi.org/10.1207/s15327906mbr2604_9</w:t>
        </w:r>
      </w:hyperlink>
    </w:p>
    <w:bookmarkEnd w:id="64"/>
    <w:bookmarkStart w:id="66"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5">
        <w:r>
          <w:rPr>
            <w:rStyle w:val="Hyperlink"/>
          </w:rPr>
          <w:t xml:space="preserve">https://doi.org/10.1111/pops.12022</w:t>
        </w:r>
      </w:hyperlink>
    </w:p>
    <w:bookmarkEnd w:id="66"/>
    <w:bookmarkStart w:id="68"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67">
        <w:r>
          <w:rPr>
            <w:rStyle w:val="Hyperlink"/>
          </w:rPr>
          <w:t xml:space="preserve">https://doi.org/10.1017/9781316161579.009</w:t>
        </w:r>
      </w:hyperlink>
    </w:p>
    <w:bookmarkEnd w:id="68"/>
    <w:bookmarkStart w:id="70"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69">
        <w:r>
          <w:rPr>
            <w:rStyle w:val="Hyperlink"/>
          </w:rPr>
          <w:t xml:space="preserve">https://doi.org/10.1038/s44271-023-00026-9</w:t>
        </w:r>
      </w:hyperlink>
    </w:p>
    <w:bookmarkEnd w:id="70"/>
    <w:bookmarkStart w:id="71"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1"/>
    <w:bookmarkStart w:id="73"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2">
        <w:r>
          <w:rPr>
            <w:rStyle w:val="Hyperlink"/>
          </w:rPr>
          <w:t xml:space="preserve">https://doi.org/gj2hw7</w:t>
        </w:r>
      </w:hyperlink>
    </w:p>
    <w:bookmarkEnd w:id="73"/>
    <w:bookmarkStart w:id="75"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4">
        <w:r>
          <w:rPr>
            <w:rStyle w:val="Hyperlink"/>
          </w:rPr>
          <w:t xml:space="preserve">https://doi.org/10.1177/2515245920952393</w:t>
        </w:r>
      </w:hyperlink>
    </w:p>
    <w:bookmarkEnd w:id="75"/>
    <w:bookmarkStart w:id="77"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6">
        <w:r>
          <w:rPr>
            <w:rStyle w:val="Hyperlink"/>
          </w:rPr>
          <w:t xml:space="preserve">https://doi.org/10.1177/1948550617693063</w:t>
        </w:r>
      </w:hyperlink>
    </w:p>
    <w:bookmarkEnd w:id="77"/>
    <w:bookmarkStart w:id="79"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78">
        <w:r>
          <w:rPr>
            <w:rStyle w:val="Hyperlink"/>
          </w:rPr>
          <w:t xml:space="preserve">https://doi.org/10.1037/cbs0000069</w:t>
        </w:r>
      </w:hyperlink>
    </w:p>
    <w:bookmarkEnd w:id="79"/>
    <w:bookmarkStart w:id="81"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0">
        <w:r>
          <w:rPr>
            <w:rStyle w:val="Hyperlink"/>
          </w:rPr>
          <w:t xml:space="preserve">https://doi.org/10.1177/00131644221111838</w:t>
        </w:r>
      </w:hyperlink>
    </w:p>
    <w:bookmarkEnd w:id="81"/>
    <w:bookmarkStart w:id="83"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82">
        <w:r>
          <w:rPr>
            <w:rStyle w:val="Hyperlink"/>
          </w:rPr>
          <w:t xml:space="preserve">https://doi.org/10.1177/014662168601000307</w:t>
        </w:r>
      </w:hyperlink>
    </w:p>
    <w:bookmarkEnd w:id="83"/>
    <w:bookmarkStart w:id="84"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4"/>
    <w:bookmarkStart w:id="86"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85">
        <w:r>
          <w:rPr>
            <w:rStyle w:val="Hyperlink"/>
          </w:rPr>
          <w:t xml:space="preserve">https://doi.org/10.1007/BF02289468</w:t>
        </w:r>
      </w:hyperlink>
    </w:p>
    <w:bookmarkEnd w:id="86"/>
    <w:bookmarkStart w:id="88"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87">
        <w:r>
          <w:rPr>
            <w:rStyle w:val="Hyperlink"/>
          </w:rPr>
          <w:t xml:space="preserve">https://doi.org/10.1177/2515245919882903</w:t>
        </w:r>
      </w:hyperlink>
    </w:p>
    <w:bookmarkEnd w:id="88"/>
    <w:bookmarkStart w:id="90"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89">
        <w:r>
          <w:rPr>
            <w:rStyle w:val="Hyperlink"/>
          </w:rPr>
          <w:t xml:space="preserve">https://doi.org/10.1111/jedm.12000</w:t>
        </w:r>
      </w:hyperlink>
    </w:p>
    <w:bookmarkEnd w:id="90"/>
    <w:bookmarkStart w:id="92"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1">
        <w:r>
          <w:rPr>
            <w:rStyle w:val="Hyperlink"/>
          </w:rPr>
          <w:t xml:space="preserve">https://doi.org/10.1080/0969594X.2016.1156645</w:t>
        </w:r>
      </w:hyperlink>
    </w:p>
    <w:bookmarkEnd w:id="92"/>
    <w:bookmarkStart w:id="93"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93"/>
    <w:bookmarkStart w:id="95"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94">
        <w:r>
          <w:rPr>
            <w:rStyle w:val="Hyperlink"/>
          </w:rPr>
          <w:t xml:space="preserve">https://doi.org/10.1146/annurev-orgpsych-012420-061705</w:t>
        </w:r>
      </w:hyperlink>
    </w:p>
    <w:bookmarkEnd w:id="95"/>
    <w:bookmarkStart w:id="97"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6">
        <w:r>
          <w:rPr>
            <w:rStyle w:val="Hyperlink"/>
          </w:rPr>
          <w:t xml:space="preserve">https://doi.org/10.1037/cap0000236</w:t>
        </w:r>
      </w:hyperlink>
    </w:p>
    <w:bookmarkEnd w:id="97"/>
    <w:bookmarkStart w:id="98" w:name="ref-masurGgmirt2023"/>
    <w:p>
      <w:pPr>
        <w:pStyle w:val="Bibliography"/>
      </w:pPr>
      <w:r>
        <w:t xml:space="preserve">Masur, P. K. (2023).</w:t>
      </w:r>
      <w:r>
        <w:t xml:space="preserve"> </w:t>
      </w:r>
      <w:r>
        <w:rPr>
          <w:iCs/>
          <w:i/>
        </w:rPr>
        <w:t xml:space="preserve">Ggmirt</w:t>
      </w:r>
      <w:r>
        <w:t xml:space="preserve">.</w:t>
      </w:r>
    </w:p>
    <w:bookmarkEnd w:id="98"/>
    <w:bookmarkStart w:id="100"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99">
        <w:r>
          <w:rPr>
            <w:rStyle w:val="Hyperlink"/>
          </w:rPr>
          <w:t xml:space="preserve">https://doi.org/10.1037/met0000144</w:t>
        </w:r>
      </w:hyperlink>
    </w:p>
    <w:bookmarkEnd w:id="100"/>
    <w:bookmarkStart w:id="101"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01"/>
    <w:bookmarkStart w:id="103"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02">
        <w:r>
          <w:rPr>
            <w:rStyle w:val="Hyperlink"/>
          </w:rPr>
          <w:t xml:space="preserve">https://doi.org/10.1177/014662169201600206</w:t>
        </w:r>
      </w:hyperlink>
    </w:p>
    <w:bookmarkEnd w:id="103"/>
    <w:bookmarkStart w:id="104"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04"/>
    <w:bookmarkStart w:id="106"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05">
        <w:r>
          <w:rPr>
            <w:rStyle w:val="Hyperlink"/>
          </w:rPr>
          <w:t xml:space="preserve">https://doi.org/10.1038/s44159-023-00161-4</w:t>
        </w:r>
      </w:hyperlink>
    </w:p>
    <w:bookmarkEnd w:id="106"/>
    <w:bookmarkStart w:id="107"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7"/>
    <w:bookmarkStart w:id="109"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08">
        <w:r>
          <w:rPr>
            <w:rStyle w:val="Hyperlink"/>
          </w:rPr>
          <w:t xml:space="preserve">https://doi.org/10.1163/24689300-01401006</w:t>
        </w:r>
      </w:hyperlink>
    </w:p>
    <w:bookmarkEnd w:id="109"/>
    <w:bookmarkStart w:id="110"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10"/>
    <w:bookmarkStart w:id="111" w:name="X3df0b348f80d9bf4e12f708b20f66c81afe6902"/>
    <w:p>
      <w:pPr>
        <w:pStyle w:val="Bibliography"/>
      </w:pPr>
      <w:r>
        <w:t xml:space="preserve">Revelle, W. (2023b).</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1"/>
    <w:bookmarkStart w:id="112" w:name="Xf358d99f734b285812a0391b06b559319382f52"/>
    <w:p>
      <w:pPr>
        <w:pStyle w:val="Bibliography"/>
      </w:pPr>
      <w:r>
        <w:t xml:space="preserve">Revelle, W. (2023a).</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2"/>
    <w:bookmarkStart w:id="114"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13">
        <w:r>
          <w:rPr>
            <w:rStyle w:val="Hyperlink"/>
          </w:rPr>
          <w:t xml:space="preserve">https://doi.org/10.1186/s40536-016-0019-1</w:t>
        </w:r>
      </w:hyperlink>
    </w:p>
    <w:bookmarkEnd w:id="114"/>
    <w:bookmarkStart w:id="116"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15">
        <w:r>
          <w:rPr>
            <w:rStyle w:val="Hyperlink"/>
          </w:rPr>
          <w:t xml:space="preserve">https://doi.org/10.1007/978-1-4757-2691-6_5</w:t>
        </w:r>
      </w:hyperlink>
    </w:p>
    <w:bookmarkEnd w:id="116"/>
    <w:bookmarkStart w:id="117"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17"/>
    <w:bookmarkStart w:id="118"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18"/>
    <w:bookmarkStart w:id="120"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19">
        <w:r>
          <w:rPr>
            <w:rStyle w:val="Hyperlink"/>
          </w:rPr>
          <w:t xml:space="preserve">https://doi.org/10.1007/978-3-319-28099-8_1262-1</w:t>
        </w:r>
      </w:hyperlink>
    </w:p>
    <w:bookmarkEnd w:id="120"/>
    <w:bookmarkStart w:id="122"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21">
        <w:r>
          <w:rPr>
            <w:rStyle w:val="Hyperlink"/>
          </w:rPr>
          <w:t xml:space="preserve">https://doi.org/10.1016/j.jrp.2012.08.002</w:t>
        </w:r>
      </w:hyperlink>
    </w:p>
    <w:bookmarkEnd w:id="122"/>
    <w:bookmarkStart w:id="124"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23">
        <w:r>
          <w:rPr>
            <w:rStyle w:val="Hyperlink"/>
          </w:rPr>
          <w:t xml:space="preserve">https://doi.org/10.1007/s11336-008-9101-0</w:t>
        </w:r>
      </w:hyperlink>
    </w:p>
    <w:bookmarkEnd w:id="124"/>
    <w:bookmarkStart w:id="126"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25">
        <w:r>
          <w:rPr>
            <w:rStyle w:val="Hyperlink"/>
          </w:rPr>
          <w:t xml:space="preserve">https://doi.org/10.7275/v2gd-4441</w:t>
        </w:r>
      </w:hyperlink>
    </w:p>
    <w:bookmarkEnd w:id="126"/>
    <w:bookmarkStart w:id="128"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27">
        <w:r>
          <w:rPr>
            <w:rStyle w:val="Hyperlink"/>
          </w:rPr>
          <w:t xml:space="preserve">https://doi.org/10.4324/9780203861264.ch3</w:t>
        </w:r>
      </w:hyperlink>
    </w:p>
    <w:bookmarkEnd w:id="128"/>
    <w:bookmarkStart w:id="130"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29">
        <w:r>
          <w:rPr>
            <w:rStyle w:val="Hyperlink"/>
          </w:rPr>
          <w:t xml:space="preserve">https://doi.org/10.21105/joss.01686</w:t>
        </w:r>
      </w:hyperlink>
    </w:p>
    <w:bookmarkEnd w:id="130"/>
    <w:bookmarkStart w:id="131"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31"/>
    <w:bookmarkStart w:id="133"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32">
        <w:r>
          <w:rPr>
            <w:rStyle w:val="Hyperlink"/>
          </w:rPr>
          <w:t xml:space="preserve">https://doi.org/10.1016/S0169-7161(06)26003-6</w:t>
        </w:r>
      </w:hyperlink>
    </w:p>
    <w:bookmarkEnd w:id="133"/>
    <w:bookmarkStart w:id="135"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34">
        <w:r>
          <w:rPr>
            <w:rStyle w:val="Hyperlink"/>
          </w:rPr>
          <w:t xml:space="preserve">https://doi.org/10.1007/978-3-319-07794-9</w:t>
        </w:r>
      </w:hyperlink>
    </w:p>
    <w:bookmarkEnd w:id="135"/>
    <w:bookmarkEnd w:id="136"/>
    <w:p>
      <w:r>
        <w:br w:type="page"/>
      </w:r>
    </w:p>
    <w:bookmarkStart w:id="137" w:name="apatb-table1"/>
    <w:p>
      <w:pPr>
        <w:pStyle w:val="FigureTitle"/>
      </w:pPr>
      <w:r>
        <w:t xml:space="preserve">Table 1</w:t>
      </w:r>
    </w:p>
    <w:bookmarkEnd w:id="137"/>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38" w:name="apafg-fig1"/>
    <w:p>
      <w:pPr>
        <w:pStyle w:val="FigureTitle"/>
      </w:pPr>
      <w:r>
        <w:t xml:space="preserve">Figure 1</w:t>
      </w:r>
    </w:p>
    <w:bookmarkEnd w:id="138"/>
    <w:p>
      <w:pPr>
        <w:pStyle w:val="Caption"/>
      </w:pPr>
      <w:r>
        <w:t xml:space="preserve">An Item Probability Function from a GRM Model</w:t>
      </w:r>
    </w:p>
    <w:p>
      <w:pPr>
        <w:pStyle w:val="FigureWithoutNote"/>
      </w:pPr>
      <w:r>
        <w:drawing>
          <wp:inline>
            <wp:extent cx="5943600" cy="3606755"/>
            <wp:effectExtent b="0" l="0" r="0" t="0"/>
            <wp:docPr descr="" title="" id="140" name="Picture"/>
            <a:graphic>
              <a:graphicData uri="http://schemas.openxmlformats.org/drawingml/2006/picture">
                <pic:pic>
                  <pic:nvPicPr>
                    <pic:cNvPr descr="CPF%20example.png" id="141" name="Picture"/>
                    <pic:cNvPicPr>
                      <a:picLocks noChangeArrowheads="1" noChangeAspect="1"/>
                    </pic:cNvPicPr>
                  </pic:nvPicPr>
                  <pic:blipFill>
                    <a:blip r:embed="rId139"/>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42" w:name="apatb-table2"/>
    <w:p>
      <w:pPr>
        <w:pStyle w:val="FigureTitle"/>
      </w:pPr>
      <w:r>
        <w:t xml:space="preserve">Table 2</w:t>
      </w:r>
    </w:p>
    <w:bookmarkEnd w:id="142"/>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43" w:name="apatb-table3"/>
    <w:p>
      <w:pPr>
        <w:pStyle w:val="FigureTitle"/>
      </w:pPr>
      <w:r>
        <w:t xml:space="preserve">Table 3</w:t>
      </w:r>
    </w:p>
    <w:bookmarkEnd w:id="143"/>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44" w:name="apafg-fig2"/>
    <w:p>
      <w:pPr>
        <w:pStyle w:val="FigureTitle"/>
      </w:pPr>
      <w:r>
        <w:t xml:space="preserve">Figure 2</w:t>
      </w:r>
    </w:p>
    <w:bookmarkEnd w:id="144"/>
    <w:p>
      <w:pPr>
        <w:pStyle w:val="Caption"/>
      </w:pPr>
      <w:r>
        <w:t xml:space="preserve">Scree Plot</w:t>
      </w:r>
    </w:p>
    <w:p>
      <w:pPr>
        <w:pStyle w:val="FigureWithoutNote"/>
      </w:pPr>
      <w:r>
        <w:drawing>
          <wp:inline>
            <wp:extent cx="5943600" cy="5943600"/>
            <wp:effectExtent b="0" l="0" r="0" t="0"/>
            <wp:docPr descr="" title="" id="146" name="Picture"/>
            <a:graphic>
              <a:graphicData uri="http://schemas.openxmlformats.org/drawingml/2006/picture">
                <pic:pic>
                  <pic:nvPicPr>
                    <pic:cNvPr descr="draft_paper_files/figure-docx/apafg-fig2-1.png" id="147" name="Picture"/>
                    <pic:cNvPicPr>
                      <a:picLocks noChangeArrowheads="1" noChangeAspect="1"/>
                    </pic:cNvPicPr>
                  </pic:nvPicPr>
                  <pic:blipFill>
                    <a:blip r:embed="rId145"/>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48" w:name="apafg-fig3"/>
    <w:p>
      <w:pPr>
        <w:pStyle w:val="FigureTitle"/>
      </w:pPr>
      <w:r>
        <w:t xml:space="preserve">Figure 3</w:t>
      </w:r>
    </w:p>
    <w:bookmarkEnd w:id="148"/>
    <w:p>
      <w:pPr>
        <w:pStyle w:val="Caption"/>
      </w:pPr>
      <w:r>
        <w:t xml:space="preserve">Parallel Analysis</w:t>
      </w:r>
    </w:p>
    <w:p>
      <w:pPr>
        <w:pStyle w:val="FigureWithoutNote"/>
      </w:pPr>
      <w:r>
        <w:drawing>
          <wp:inline>
            <wp:extent cx="5943600" cy="5943600"/>
            <wp:effectExtent b="0" l="0" r="0" t="0"/>
            <wp:docPr descr="" title="" id="150" name="Picture"/>
            <a:graphic>
              <a:graphicData uri="http://schemas.openxmlformats.org/drawingml/2006/picture">
                <pic:pic>
                  <pic:nvPicPr>
                    <pic:cNvPr descr="draft_paper_files/figure-docx/apafg-fig3-1.png" id="151" name="Picture"/>
                    <pic:cNvPicPr>
                      <a:picLocks noChangeArrowheads="1" noChangeAspect="1"/>
                    </pic:cNvPicPr>
                  </pic:nvPicPr>
                  <pic:blipFill>
                    <a:blip r:embed="rId14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2" w:name="apatb-table4"/>
    <w:p>
      <w:pPr>
        <w:pStyle w:val="FigureTitle"/>
      </w:pPr>
      <w:r>
        <w:t xml:space="preserve">Table 4</w:t>
      </w:r>
    </w:p>
    <w:bookmarkEnd w:id="152"/>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λ = Standardized Factor Loadings, h2 = Commonality, a = Discrimination, b1-b8 = Response specific threshold parameters.</w:t>
      </w:r>
    </w:p>
    <w:p>
      <w:r>
        <w:br w:type="page"/>
      </w:r>
    </w:p>
    <w:bookmarkStart w:id="153" w:name="apatb-table5"/>
    <w:p>
      <w:pPr>
        <w:pStyle w:val="FigureTitle"/>
      </w:pPr>
      <w:r>
        <w:t xml:space="preserve">Table 5</w:t>
      </w:r>
    </w:p>
    <w:bookmarkEnd w:id="153"/>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54" w:name="apafg-fig4"/>
    <w:p>
      <w:pPr>
        <w:pStyle w:val="FigureTitle"/>
      </w:pPr>
      <w:r>
        <w:t xml:space="preserve">Figure 4</w:t>
      </w:r>
    </w:p>
    <w:bookmarkEnd w:id="154"/>
    <w:p>
      <w:pPr>
        <w:pStyle w:val="Caption"/>
      </w:pPr>
      <w:r>
        <w:t xml:space="preserve">Item Probability Functions of RWA Scale</w:t>
      </w:r>
    </w:p>
    <w:p>
      <w:pPr>
        <w:pStyle w:val="FigureWithoutNote"/>
      </w:pPr>
      <w:r>
        <w:drawing>
          <wp:inline>
            <wp:extent cx="5943600" cy="5943600"/>
            <wp:effectExtent b="0" l="0" r="0" t="0"/>
            <wp:docPr descr="" title="" id="156" name="Picture"/>
            <a:graphic>
              <a:graphicData uri="http://schemas.openxmlformats.org/drawingml/2006/picture">
                <pic:pic>
                  <pic:nvPicPr>
                    <pic:cNvPr descr="draft_paper_files/figure-docx/apafg-fig4-1.png" id="157" name="Picture"/>
                    <pic:cNvPicPr>
                      <a:picLocks noChangeArrowheads="1" noChangeAspect="1"/>
                    </pic:cNvPicPr>
                  </pic:nvPicPr>
                  <pic:blipFill>
                    <a:blip r:embed="rId155"/>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8" w:name="apafg-fig5"/>
    <w:p>
      <w:pPr>
        <w:pStyle w:val="FigureTitle"/>
      </w:pPr>
      <w:r>
        <w:t xml:space="preserve">Figure 5</w:t>
      </w:r>
    </w:p>
    <w:bookmarkEnd w:id="158"/>
    <w:p>
      <w:pPr>
        <w:pStyle w:val="Caption"/>
      </w:pPr>
      <w:r>
        <w:t xml:space="preserve">Item Information Curves of the RWA Scale</w:t>
      </w:r>
    </w:p>
    <w:p>
      <w:pPr>
        <w:pStyle w:val="FigureWithoutNote"/>
      </w:pPr>
      <w:r>
        <w:drawing>
          <wp:inline>
            <wp:extent cx="5943600" cy="5943600"/>
            <wp:effectExtent b="0" l="0" r="0" t="0"/>
            <wp:docPr descr="" title="" id="160" name="Picture"/>
            <a:graphic>
              <a:graphicData uri="http://schemas.openxmlformats.org/drawingml/2006/picture">
                <pic:pic>
                  <pic:nvPicPr>
                    <pic:cNvPr descr="draft_paper_files/figure-docx/apafg-fig5-1.png" id="161" name="Picture"/>
                    <pic:cNvPicPr>
                      <a:picLocks noChangeArrowheads="1" noChangeAspect="1"/>
                    </pic:cNvPicPr>
                  </pic:nvPicPr>
                  <pic:blipFill>
                    <a:blip r:embed="rId15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2" w:name="apafg-fig6"/>
    <w:p>
      <w:pPr>
        <w:pStyle w:val="FigureTitle"/>
      </w:pPr>
      <w:r>
        <w:t xml:space="preserve">Figure 6</w:t>
      </w:r>
    </w:p>
    <w:bookmarkEnd w:id="162"/>
    <w:p>
      <w:pPr>
        <w:pStyle w:val="Caption"/>
      </w:pPr>
      <w:r>
        <w:t xml:space="preserve">Test Information Curve of the RWA Scale</w:t>
      </w:r>
    </w:p>
    <w:p>
      <w:pPr>
        <w:pStyle w:val="FigureWithoutNote"/>
      </w:pPr>
      <w:r>
        <w:drawing>
          <wp:inline>
            <wp:extent cx="5943600" cy="5943600"/>
            <wp:effectExtent b="0" l="0" r="0" t="0"/>
            <wp:docPr descr="" title="" id="164" name="Picture"/>
            <a:graphic>
              <a:graphicData uri="http://schemas.openxmlformats.org/drawingml/2006/picture">
                <pic:pic>
                  <pic:nvPicPr>
                    <pic:cNvPr descr="draft_paper_files/figure-docx/apafg-fig6-1.png" id="165" name="Picture"/>
                    <pic:cNvPicPr>
                      <a:picLocks noChangeArrowheads="1" noChangeAspect="1"/>
                    </pic:cNvPicPr>
                  </pic:nvPicPr>
                  <pic:blipFill>
                    <a:blip r:embed="rId16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6" w:name="apafg-fig7"/>
    <w:p>
      <w:pPr>
        <w:pStyle w:val="FigureTitle"/>
      </w:pPr>
      <w:r>
        <w:t xml:space="preserve">Figure 7</w:t>
      </w:r>
    </w:p>
    <w:bookmarkEnd w:id="166"/>
    <w:p>
      <w:pPr>
        <w:pStyle w:val="Caption"/>
      </w:pPr>
      <w:r>
        <w:t xml:space="preserve">Reliability of the RWA Scale Given to the θ Level</w:t>
      </w:r>
    </w:p>
    <w:p>
      <w:pPr>
        <w:pStyle w:val="FigureWithoutNote"/>
      </w:pPr>
      <w:r>
        <w:drawing>
          <wp:inline>
            <wp:extent cx="5943600" cy="5943600"/>
            <wp:effectExtent b="0" l="0" r="0" t="0"/>
            <wp:docPr descr="" title="" id="168" name="Picture"/>
            <a:graphic>
              <a:graphicData uri="http://schemas.openxmlformats.org/drawingml/2006/picture">
                <pic:pic>
                  <pic:nvPicPr>
                    <pic:cNvPr descr="draft_paper_files/figure-docx/apafg-fig7-1.png" id="169" name="Picture"/>
                    <pic:cNvPicPr>
                      <a:picLocks noChangeArrowheads="1" noChangeAspect="1"/>
                    </pic:cNvPicPr>
                  </pic:nvPicPr>
                  <pic:blipFill>
                    <a:blip r:embed="rId167"/>
                    <a:stretch>
                      <a:fillRect/>
                    </a:stretch>
                  </pic:blipFill>
                  <pic:spPr bwMode="auto">
                    <a:xfrm>
                      <a:off x="0" y="0"/>
                      <a:ext cx="5943600" cy="5943600"/>
                    </a:xfrm>
                    <a:prstGeom prst="rect">
                      <a:avLst/>
                    </a:prstGeom>
                    <a:noFill/>
                    <a:ln w="9525">
                      <a:noFill/>
                      <a:headEnd/>
                      <a:tailEnd/>
                    </a:ln>
                  </pic:spPr>
                </pic:pic>
              </a:graphicData>
            </a:graphic>
          </wp:inline>
        </w:drawing>
      </w:r>
    </w:p>
    <w:bookmarkEnd w:id="170"/>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39" Target="media/rId139.png" /><Relationship Type="http://schemas.openxmlformats.org/officeDocument/2006/relationships/image" Id="rId21" Target="media/rId21.svgz"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hyperlink" Id="rId35" Target="http://openpsychometrics.org/_rawdata/" TargetMode="External" /><Relationship Type="http://schemas.openxmlformats.org/officeDocument/2006/relationships/hyperlink" Id="rId115" Target="https://doi.org/10.1007/978-1-4757-2691-6_5" TargetMode="External" /><Relationship Type="http://schemas.openxmlformats.org/officeDocument/2006/relationships/hyperlink" Id="rId134" Target="https://doi.org/10.1007/978-3-319-07794-9" TargetMode="External" /><Relationship Type="http://schemas.openxmlformats.org/officeDocument/2006/relationships/hyperlink" Id="rId119" Target="https://doi.org/10.1007/978-3-319-28099-8_1262-1" TargetMode="External" /><Relationship Type="http://schemas.openxmlformats.org/officeDocument/2006/relationships/hyperlink" Id="rId85"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23" Target="https://doi.org/10.1007/s11336-008-9101-0" TargetMode="External" /><Relationship Type="http://schemas.openxmlformats.org/officeDocument/2006/relationships/hyperlink" Id="rId132" Target="https://doi.org/10.1016/S0169-7161(06)26003-6" TargetMode="External" /><Relationship Type="http://schemas.openxmlformats.org/officeDocument/2006/relationships/hyperlink" Id="rId121"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7"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6" Target="https://doi.org/10.1037/cap0000236" TargetMode="External" /><Relationship Type="http://schemas.openxmlformats.org/officeDocument/2006/relationships/hyperlink" Id="rId78" Target="https://doi.org/10.1037/cbs0000069" TargetMode="External" /><Relationship Type="http://schemas.openxmlformats.org/officeDocument/2006/relationships/hyperlink" Id="rId99" Target="https://doi.org/10.1037/met0000144" TargetMode="External" /><Relationship Type="http://schemas.openxmlformats.org/officeDocument/2006/relationships/hyperlink" Id="rId105" Target="https://doi.org/10.1038/s44159-023-00161-4" TargetMode="External" /><Relationship Type="http://schemas.openxmlformats.org/officeDocument/2006/relationships/hyperlink" Id="rId69" Target="https://doi.org/10.1038/s44271-023-00026-9" TargetMode="External" /><Relationship Type="http://schemas.openxmlformats.org/officeDocument/2006/relationships/hyperlink" Id="rId91" Target="https://doi.org/10.1080/0969594X.2016.1156645" TargetMode="External" /><Relationship Type="http://schemas.openxmlformats.org/officeDocument/2006/relationships/hyperlink" Id="rId89" Target="https://doi.org/10.1111/jedm.12000" TargetMode="External" /><Relationship Type="http://schemas.openxmlformats.org/officeDocument/2006/relationships/hyperlink" Id="rId65" Target="https://doi.org/10.1111/pops.12022" TargetMode="External" /><Relationship Type="http://schemas.openxmlformats.org/officeDocument/2006/relationships/hyperlink" Id="rId94" Target="https://doi.org/10.1146/annurev-orgpsych-012420-061705" TargetMode="External" /><Relationship Type="http://schemas.openxmlformats.org/officeDocument/2006/relationships/hyperlink" Id="rId108" Target="https://doi.org/10.1163/24689300-01401006" TargetMode="External" /><Relationship Type="http://schemas.openxmlformats.org/officeDocument/2006/relationships/hyperlink" Id="rId80" Target="https://doi.org/10.1177/00131644221111838" TargetMode="External" /><Relationship Type="http://schemas.openxmlformats.org/officeDocument/2006/relationships/hyperlink" Id="rId82"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2" Target="https://doi.org/10.1177/014662169201600206" TargetMode="External" /><Relationship Type="http://schemas.openxmlformats.org/officeDocument/2006/relationships/hyperlink" Id="rId76" Target="https://doi.org/10.1177/1948550617693063" TargetMode="External" /><Relationship Type="http://schemas.openxmlformats.org/officeDocument/2006/relationships/hyperlink" Id="rId87" Target="https://doi.org/10.1177/2515245919882903" TargetMode="External" /><Relationship Type="http://schemas.openxmlformats.org/officeDocument/2006/relationships/hyperlink" Id="rId74" Target="https://doi.org/10.1177/2515245920952393" TargetMode="External" /><Relationship Type="http://schemas.openxmlformats.org/officeDocument/2006/relationships/hyperlink" Id="rId113" Target="https://doi.org/10.1186/s40536-016-0019-1" TargetMode="External" /><Relationship Type="http://schemas.openxmlformats.org/officeDocument/2006/relationships/hyperlink" Id="rId63"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29"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27" Target="https://doi.org/10.4324/9780203861264.ch3" TargetMode="External" /><Relationship Type="http://schemas.openxmlformats.org/officeDocument/2006/relationships/hyperlink" Id="rId125" Target="https://doi.org/10.7275/v2gd-4441" TargetMode="External" /><Relationship Type="http://schemas.openxmlformats.org/officeDocument/2006/relationships/hyperlink" Id="rId72"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15" Target="https://doi.org/10.1007/978-1-4757-2691-6_5" TargetMode="External" /><Relationship Type="http://schemas.openxmlformats.org/officeDocument/2006/relationships/hyperlink" Id="rId134" Target="https://doi.org/10.1007/978-3-319-07794-9" TargetMode="External" /><Relationship Type="http://schemas.openxmlformats.org/officeDocument/2006/relationships/hyperlink" Id="rId119" Target="https://doi.org/10.1007/978-3-319-28099-8_1262-1" TargetMode="External" /><Relationship Type="http://schemas.openxmlformats.org/officeDocument/2006/relationships/hyperlink" Id="rId85"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23" Target="https://doi.org/10.1007/s11336-008-9101-0" TargetMode="External" /><Relationship Type="http://schemas.openxmlformats.org/officeDocument/2006/relationships/hyperlink" Id="rId132" Target="https://doi.org/10.1016/S0169-7161(06)26003-6" TargetMode="External" /><Relationship Type="http://schemas.openxmlformats.org/officeDocument/2006/relationships/hyperlink" Id="rId121"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67"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6" Target="https://doi.org/10.1037/cap0000236" TargetMode="External" /><Relationship Type="http://schemas.openxmlformats.org/officeDocument/2006/relationships/hyperlink" Id="rId78" Target="https://doi.org/10.1037/cbs0000069" TargetMode="External" /><Relationship Type="http://schemas.openxmlformats.org/officeDocument/2006/relationships/hyperlink" Id="rId99" Target="https://doi.org/10.1037/met0000144" TargetMode="External" /><Relationship Type="http://schemas.openxmlformats.org/officeDocument/2006/relationships/hyperlink" Id="rId105" Target="https://doi.org/10.1038/s44159-023-00161-4" TargetMode="External" /><Relationship Type="http://schemas.openxmlformats.org/officeDocument/2006/relationships/hyperlink" Id="rId69" Target="https://doi.org/10.1038/s44271-023-00026-9" TargetMode="External" /><Relationship Type="http://schemas.openxmlformats.org/officeDocument/2006/relationships/hyperlink" Id="rId91" Target="https://doi.org/10.1080/0969594X.2016.1156645" TargetMode="External" /><Relationship Type="http://schemas.openxmlformats.org/officeDocument/2006/relationships/hyperlink" Id="rId89" Target="https://doi.org/10.1111/jedm.12000" TargetMode="External" /><Relationship Type="http://schemas.openxmlformats.org/officeDocument/2006/relationships/hyperlink" Id="rId65" Target="https://doi.org/10.1111/pops.12022" TargetMode="External" /><Relationship Type="http://schemas.openxmlformats.org/officeDocument/2006/relationships/hyperlink" Id="rId94" Target="https://doi.org/10.1146/annurev-orgpsych-012420-061705" TargetMode="External" /><Relationship Type="http://schemas.openxmlformats.org/officeDocument/2006/relationships/hyperlink" Id="rId108" Target="https://doi.org/10.1163/24689300-01401006" TargetMode="External" /><Relationship Type="http://schemas.openxmlformats.org/officeDocument/2006/relationships/hyperlink" Id="rId80" Target="https://doi.org/10.1177/00131644221111838" TargetMode="External" /><Relationship Type="http://schemas.openxmlformats.org/officeDocument/2006/relationships/hyperlink" Id="rId82"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2" Target="https://doi.org/10.1177/014662169201600206" TargetMode="External" /><Relationship Type="http://schemas.openxmlformats.org/officeDocument/2006/relationships/hyperlink" Id="rId76" Target="https://doi.org/10.1177/1948550617693063" TargetMode="External" /><Relationship Type="http://schemas.openxmlformats.org/officeDocument/2006/relationships/hyperlink" Id="rId87" Target="https://doi.org/10.1177/2515245919882903" TargetMode="External" /><Relationship Type="http://schemas.openxmlformats.org/officeDocument/2006/relationships/hyperlink" Id="rId74" Target="https://doi.org/10.1177/2515245920952393" TargetMode="External" /><Relationship Type="http://schemas.openxmlformats.org/officeDocument/2006/relationships/hyperlink" Id="rId113" Target="https://doi.org/10.1186/s40536-016-0019-1" TargetMode="External" /><Relationship Type="http://schemas.openxmlformats.org/officeDocument/2006/relationships/hyperlink" Id="rId63"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29" Target="https://doi.org/10.21105/joss.01686" TargetMode="External" /><Relationship Type="http://schemas.openxmlformats.org/officeDocument/2006/relationships/hyperlink" Id="rId59" Target="https://doi.org/10.3102/10769986022003265" TargetMode="External" /><Relationship Type="http://schemas.openxmlformats.org/officeDocument/2006/relationships/hyperlink" Id="rId127" Target="https://doi.org/10.4324/9780203861264.ch3" TargetMode="External" /><Relationship Type="http://schemas.openxmlformats.org/officeDocument/2006/relationships/hyperlink" Id="rId125" Target="https://doi.org/10.7275/v2gd-4441" TargetMode="External" /><Relationship Type="http://schemas.openxmlformats.org/officeDocument/2006/relationships/hyperlink" Id="rId72"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2024-01-15T13:49:42Z</dcterms:created>
  <dcterms:modified xsi:type="dcterms:W3CDTF">2024-01-15T13:49:42Z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