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C85F4D" w14:textId="77777777" w:rsidR="00AD4A06" w:rsidRDefault="00634CB6">
      <w:pPr>
        <w:pStyle w:val="Heading1"/>
      </w:pPr>
      <w:bookmarkStart w:id="0" w:name="Xa98d5f2b9aed6c270624315dcab09aad41baca6"/>
      <w:r>
        <w:t>Getting Started with the Graded Response Model (GRM): A gentle introduction and tutorial in R</w:t>
      </w:r>
    </w:p>
    <w:p w14:paraId="5AA927DC" w14:textId="77777777" w:rsidR="00AD4A06" w:rsidRDefault="00634CB6">
      <w:pPr>
        <w:pStyle w:val="FirstParagraph"/>
      </w:pPr>
      <w:r>
        <w:t>Only half of published findings include evidence of measurement validity (Flake et al., 2017) and a large proportion of published studies suffer from hidden invalidity (Hussey &amp; Hughes, 2020). Lack of evidence for measurement validity can raise serious concerns about the replicability of research findings, as it directly contributes to the invalidity of the findings (Flake &amp; Fried, 2020). Furthermore, the lack of evidence for measurement validity can hamper consensus on the best way to measure a construct, which becomes a major obstacle to the establishment of cumulative psychological science (Elson et al., 2023). Given these circumstances, it is critical to provide applied psychological researchers with a set of tools and practical steps to help them assess measurement validity so that they can ensure the credibility of their findings.</w:t>
      </w:r>
    </w:p>
    <w:p w14:paraId="497B66E2" w14:textId="77777777" w:rsidR="00AD4A06" w:rsidRDefault="00634CB6">
      <w:pPr>
        <w:pStyle w:val="BodyText"/>
      </w:pPr>
      <w:r>
        <w:t>The purpose of this article is to provide a brief introduction to the Graded Response Model (GRM), a family of item response models specifically designed to assess the measurement precision of a polytomous (Likert-style) scale. In this paper, we aim to keep our tutorial concise, so we do not cover all IRT concepts in detail. Interested readers are referred to available didactic texts on IRT, such as Embretson and Reise (2000) for the introductory level, and Baker and Seock-Ho (2017) and de Ayala (2022) for a more technical and comprehensive overview.</w:t>
      </w:r>
    </w:p>
    <w:p w14:paraId="1C156F34" w14:textId="77777777" w:rsidR="00AD4A06" w:rsidRDefault="00634CB6">
      <w:pPr>
        <w:pStyle w:val="BodyText"/>
      </w:pPr>
      <w:r>
        <w:t xml:space="preserve">First, we briefly explain what GRM is and how it is specified. In this part, we highlight how model and item parameters are specified and interpreted as well as visualizations derived from a GRM analysis. We also introduce three key assumptions underlying a GRM and how to test these assumptions. We then provide an illustrative example of testing measurement precision </w:t>
      </w:r>
      <w:r>
        <w:lastRenderedPageBreak/>
        <w:t>using a GRM analysis, and in this part, we show how to practically implement a GRM analysis and interpret its results. We complement the illustrative example with code in the open-source programming language R (R Core Team, 2023) so that the readers can implement and reproduce the example presented in this paper. Readers with some experience in R and RStudio can easily follow this tutorial, but for those who are not yet familiar with R, we refer them to excellent, easy-to-follow materials developed by Navarro (2018). Finally, we present some concluding remarks to encourage researchers to implement a GRM analysis as a part of their routine.</w:t>
      </w:r>
    </w:p>
    <w:p w14:paraId="03895CDC" w14:textId="77777777" w:rsidR="00AD4A06" w:rsidRDefault="00634CB6">
      <w:pPr>
        <w:pStyle w:val="Heading1"/>
      </w:pPr>
      <w:bookmarkStart w:id="1" w:name="graded-response-model"/>
      <w:bookmarkEnd w:id="0"/>
      <w:r>
        <w:t>Graded Response Model</w:t>
      </w:r>
    </w:p>
    <w:p w14:paraId="4975D8F5" w14:textId="77777777" w:rsidR="00AD4A06" w:rsidRDefault="00634CB6">
      <w:pPr>
        <w:pStyle w:val="FirstParagraph"/>
      </w:pPr>
      <w:r>
        <w:t xml:space="preserve">GRM is a family of IRT models specifically designed to analyze ordered polytomous (Likert-style) data (Samejima, 1997, 2010, 2016). The fundamental idea of GRM is to extend the logic of simpler dichotomous IRT models to polytomous scales by applying a probabilistic function to each response category. In dichotomous two-parameter logistic (2PL) IRT models, the probability of answering a correct response is modeled as a function of </w:t>
      </w:r>
      <m:oMath>
        <m:r>
          <w:rPr>
            <w:rFonts w:ascii="Cambria Math" w:hAnsi="Cambria Math"/>
          </w:rPr>
          <m:t>θ</m:t>
        </m:r>
      </m:oMath>
      <w:r>
        <w:t>, item difficulty (</w:t>
      </w:r>
      <w:r>
        <w:rPr>
          <w:i/>
          <w:iCs/>
        </w:rPr>
        <w:t>b</w:t>
      </w:r>
      <w:r>
        <w:t>), and item discrimination (</w:t>
      </w:r>
      <w:r>
        <w:rPr>
          <w:i/>
          <w:iCs/>
        </w:rPr>
        <w:t>a</w:t>
      </w:r>
      <w:r>
        <w:t xml:space="preserve">). GRM extends this idea by modeling the probability of selecting certain response category or higher on an item (i.e., </w:t>
      </w:r>
      <w:r>
        <w:rPr>
          <w:i/>
          <w:iCs/>
        </w:rPr>
        <w:t>step function</w:t>
      </w:r>
      <w:r>
        <w:t>) given to item difficulty (</w:t>
      </w:r>
      <w:r>
        <w:rPr>
          <w:i/>
          <w:iCs/>
        </w:rPr>
        <w:t>b</w:t>
      </w:r>
      <w:r>
        <w:t>) and discrimination (</w:t>
      </w:r>
      <w:r>
        <w:rPr>
          <w:i/>
          <w:iCs/>
        </w:rPr>
        <w:t>a</w:t>
      </w:r>
      <w:r>
        <w:t xml:space="preserve">). For each response category (e.g., answering “agree” on a five-point Likert scale), GRM calculates the cumulative probability of a participant answering “agree” or above, given to their </w:t>
      </w:r>
      <m:oMath>
        <m:r>
          <w:rPr>
            <w:rFonts w:ascii="Cambria Math" w:hAnsi="Cambria Math"/>
          </w:rPr>
          <m:t>θ</m:t>
        </m:r>
      </m:oMath>
      <w:r>
        <w:t xml:space="preserve">. Therefore, the notion of item difficulty in dichotomous IRT models is extended to the step function (i.e., item threshold - </w:t>
      </w:r>
      <w:r>
        <w:rPr>
          <w:i/>
          <w:iCs/>
        </w:rPr>
        <w:t>b</w:t>
      </w:r>
      <w:r>
        <w:t>) to handle ordered polytomous data.</w:t>
      </w:r>
    </w:p>
    <w:p w14:paraId="689D572A" w14:textId="31F0D6D9" w:rsidR="00AD4A06" w:rsidRDefault="00634CB6">
      <w:pPr>
        <w:pStyle w:val="BodyText"/>
      </w:pPr>
      <w:r>
        <w:t>To illustrate the step function, consider a scale measuring sadistic personality (e.g., “</w:t>
      </w:r>
      <w:r>
        <w:rPr>
          <w:i/>
          <w:iCs/>
        </w:rPr>
        <w:t>watching a fist-fight excites me</w:t>
      </w:r>
      <w:r>
        <w:t>,” etc.) with response categories ranging from 1 (</w:t>
      </w:r>
      <w:r>
        <w:rPr>
          <w:i/>
          <w:iCs/>
        </w:rPr>
        <w:t>strongly disagree</w:t>
      </w:r>
      <w:r>
        <w:t>) to 4 (</w:t>
      </w:r>
      <w:r>
        <w:rPr>
          <w:i/>
          <w:iCs/>
        </w:rPr>
        <w:t>strongly agree</w:t>
      </w:r>
      <w:r>
        <w:t>). Imagine these categories are hierarchically ordered from the lowest category (</w:t>
      </w:r>
      <w:r>
        <w:rPr>
          <w:i/>
          <w:iCs/>
        </w:rPr>
        <w:t>strongly disagree</w:t>
      </w:r>
      <w:r>
        <w:t>) to the highest (</w:t>
      </w:r>
      <w:r>
        <w:rPr>
          <w:i/>
          <w:iCs/>
        </w:rPr>
        <w:t>strongly agree</w:t>
      </w:r>
      <w:r>
        <w:t xml:space="preserve">), like a staircase. GRM aims to </w:t>
      </w:r>
      <w:r>
        <w:lastRenderedPageBreak/>
        <w:t>estimate the level of sadistic personality (</w:t>
      </w:r>
      <m:oMath>
        <m:r>
          <w:rPr>
            <w:rFonts w:ascii="Cambria Math" w:hAnsi="Cambria Math"/>
          </w:rPr>
          <m:t>θ</m:t>
        </m:r>
      </m:oMath>
      <w:r>
        <w:t xml:space="preserve">) required for “stepping” from one response category to another (e.g., </w:t>
      </w:r>
      <w:r>
        <w:rPr>
          <w:i/>
          <w:iCs/>
        </w:rPr>
        <w:t>moderately agree</w:t>
      </w:r>
      <w:r>
        <w:t xml:space="preserve"> to </w:t>
      </w:r>
      <w:r>
        <w:rPr>
          <w:i/>
          <w:iCs/>
        </w:rPr>
        <w:t>strongly agree</w:t>
      </w:r>
      <w:r>
        <w:t>). Therefore, a GRM model of a five-point Likert scale calculates four item threshold parameters (</w:t>
      </w:r>
      <w:r>
        <w:rPr>
          <w:i/>
          <w:iCs/>
        </w:rPr>
        <w:t>b</w:t>
      </w:r>
      <w:r>
        <w:t xml:space="preserve">): the location of </w:t>
      </w:r>
      <m:oMath>
        <m:r>
          <w:rPr>
            <w:rFonts w:ascii="Cambria Math" w:hAnsi="Cambria Math"/>
          </w:rPr>
          <m:t>θ</m:t>
        </m:r>
      </m:oMath>
      <w:r>
        <w:t xml:space="preserve"> level where individuals are equally likely to respond 1 or 2 (</w:t>
      </w:r>
      <w:r>
        <w:rPr>
          <w:i/>
          <w:iCs/>
        </w:rPr>
        <w:t>b</w:t>
      </w:r>
      <w:r>
        <w:rPr>
          <w:vertAlign w:val="subscript"/>
        </w:rPr>
        <w:t>1</w:t>
      </w:r>
      <w:r>
        <w:t>), 2 or 3 (</w:t>
      </w:r>
      <w:r>
        <w:rPr>
          <w:i/>
          <w:iCs/>
        </w:rPr>
        <w:t>b</w:t>
      </w:r>
      <w:r>
        <w:rPr>
          <w:vertAlign w:val="subscript"/>
        </w:rPr>
        <w:t>2</w:t>
      </w:r>
      <w:r>
        <w:t>), 3 or 4 (</w:t>
      </w:r>
      <w:r>
        <w:rPr>
          <w:i/>
          <w:iCs/>
        </w:rPr>
        <w:t>b</w:t>
      </w:r>
      <w:r>
        <w:rPr>
          <w:vertAlign w:val="subscript"/>
        </w:rPr>
        <w:t>3</w:t>
      </w:r>
      <w:r>
        <w:t>), and 4 or 5 (</w:t>
      </w:r>
      <w:r>
        <w:rPr>
          <w:i/>
          <w:iCs/>
        </w:rPr>
        <w:t>b</w:t>
      </w:r>
      <w:r>
        <w:rPr>
          <w:vertAlign w:val="subscript"/>
        </w:rPr>
        <w:t>4</w:t>
      </w:r>
      <w:r>
        <w:t xml:space="preserve">). Each threshold is exactly the point where a participant is equally likely to respond to either of the adjacent response categories. For example, if </w:t>
      </w:r>
      <w:r>
        <w:rPr>
          <w:i/>
          <w:iCs/>
        </w:rPr>
        <w:t>b</w:t>
      </w:r>
      <w:r>
        <w:rPr>
          <w:vertAlign w:val="subscript"/>
        </w:rPr>
        <w:t>1</w:t>
      </w:r>
      <w:r>
        <w:t xml:space="preserve"> = -1.23 for the item “</w:t>
      </w:r>
      <w:r>
        <w:rPr>
          <w:i/>
          <w:iCs/>
        </w:rPr>
        <w:t>watching a fist-fight excites me</w:t>
      </w:r>
      <w:r>
        <w:t xml:space="preserve">”, it implies that participants with sadism level 1.23 below the mean are equally likely to either answer </w:t>
      </w:r>
      <w:r>
        <w:rPr>
          <w:i/>
          <w:iCs/>
        </w:rPr>
        <w:t>strongly disagree</w:t>
      </w:r>
      <w:r>
        <w:t xml:space="preserve"> or </w:t>
      </w:r>
      <w:r>
        <w:rPr>
          <w:i/>
          <w:iCs/>
        </w:rPr>
        <w:t>moderately disagree</w:t>
      </w:r>
      <w:r>
        <w:t>.</w:t>
      </w:r>
    </w:p>
    <w:p w14:paraId="73100BDE" w14:textId="77777777" w:rsidR="00AD4A06" w:rsidRDefault="00634CB6">
      <w:pPr>
        <w:pStyle w:val="BodyText"/>
      </w:pPr>
      <w:r>
        <w:t xml:space="preserve">Figure 1 shows an example of an item probability function (IPF) from an item on a scale with five response categories. In general, IPF describes a relationship between </w:t>
      </w:r>
      <m:oMath>
        <m:r>
          <w:rPr>
            <w:rFonts w:ascii="Cambria Math" w:hAnsi="Cambria Math"/>
          </w:rPr>
          <m:t>θ</m:t>
        </m:r>
      </m:oMath>
      <w:r>
        <w:t xml:space="preserve"> (x-axis) and the probability of endorsing a response category (y-axis - </w:t>
      </w:r>
      <w:r>
        <w:rPr>
          <w:i/>
          <w:iCs/>
        </w:rPr>
        <w:t>P</w:t>
      </w:r>
      <m:oMath>
        <m:r>
          <w:rPr>
            <w:rFonts w:ascii="Cambria Math" w:hAnsi="Cambria Math"/>
          </w:rPr>
          <m:t>θ</m:t>
        </m:r>
      </m:oMath>
      <w:r>
        <w:t xml:space="preserve">). Figure 1 consists of five category probability curves, each of which represents the probability of endorsing a response category given </w:t>
      </w:r>
      <m:oMath>
        <m:r>
          <w:rPr>
            <w:rFonts w:ascii="Cambria Math" w:hAnsi="Cambria Math"/>
          </w:rPr>
          <m:t>θ</m:t>
        </m:r>
      </m:oMath>
      <w:r>
        <w:t xml:space="preserve">. Item threshold is exactly the location of </w:t>
      </w:r>
      <m:oMath>
        <m:r>
          <w:rPr>
            <w:rFonts w:ascii="Cambria Math" w:hAnsi="Cambria Math"/>
          </w:rPr>
          <m:t>θ</m:t>
        </m:r>
      </m:oMath>
      <w:r>
        <w:t xml:space="preserve"> where two adjacent category probability curves cross each other.</w:t>
      </w:r>
    </w:p>
    <w:p w14:paraId="672A6659" w14:textId="77777777" w:rsidR="00AD4A06" w:rsidRDefault="00634CB6">
      <w:r>
        <w:br w:type="page"/>
      </w:r>
    </w:p>
    <w:p w14:paraId="7F7B4CEA" w14:textId="77777777" w:rsidR="00AD4A06" w:rsidRDefault="00634CB6">
      <w:pPr>
        <w:pStyle w:val="FigureTitle"/>
      </w:pPr>
      <w:bookmarkStart w:id="2" w:name="apafg-fig1"/>
      <w:r>
        <w:lastRenderedPageBreak/>
        <w:t>Figure 1</w:t>
      </w:r>
    </w:p>
    <w:bookmarkEnd w:id="2"/>
    <w:p w14:paraId="432AE157" w14:textId="77777777" w:rsidR="00AD4A06" w:rsidRDefault="00634CB6">
      <w:pPr>
        <w:pStyle w:val="Caption"/>
      </w:pPr>
      <w:r>
        <w:t>An Item Probability Function from a GRM Model</w:t>
      </w:r>
    </w:p>
    <w:p w14:paraId="0A37501D" w14:textId="77777777" w:rsidR="00AD4A06" w:rsidRDefault="00634CB6">
      <w:pPr>
        <w:pStyle w:val="FigureWithoutNote"/>
      </w:pPr>
      <w:r>
        <w:rPr>
          <w:noProof/>
        </w:rPr>
        <w:drawing>
          <wp:inline distT="0" distB="0" distL="0" distR="0" wp14:anchorId="039A314F" wp14:editId="07777777">
            <wp:extent cx="5943600" cy="3606755"/>
            <wp:effectExtent l="0" t="0" r="0" b="0"/>
            <wp:docPr id="31" name="Picture"/>
            <wp:cNvGraphicFramePr/>
            <a:graphic xmlns:a="http://schemas.openxmlformats.org/drawingml/2006/main">
              <a:graphicData uri="http://schemas.openxmlformats.org/drawingml/2006/picture">
                <pic:pic xmlns:pic="http://schemas.openxmlformats.org/drawingml/2006/picture">
                  <pic:nvPicPr>
                    <pic:cNvPr id="32" name="Picture" descr="CPF%20example.png"/>
                    <pic:cNvPicPr>
                      <a:picLocks noChangeAspect="1" noChangeArrowheads="1"/>
                    </pic:cNvPicPr>
                  </pic:nvPicPr>
                  <pic:blipFill>
                    <a:blip r:embed="rId7"/>
                    <a:stretch>
                      <a:fillRect/>
                    </a:stretch>
                  </pic:blipFill>
                  <pic:spPr bwMode="auto">
                    <a:xfrm>
                      <a:off x="0" y="0"/>
                      <a:ext cx="5943600" cy="3606755"/>
                    </a:xfrm>
                    <a:prstGeom prst="rect">
                      <a:avLst/>
                    </a:prstGeom>
                    <a:noFill/>
                    <a:ln w="9525">
                      <a:noFill/>
                      <a:headEnd/>
                      <a:tailEnd/>
                    </a:ln>
                  </pic:spPr>
                </pic:pic>
              </a:graphicData>
            </a:graphic>
          </wp:inline>
        </w:drawing>
      </w:r>
    </w:p>
    <w:p w14:paraId="5DAB6C7B" w14:textId="77777777" w:rsidR="00AD4A06" w:rsidRDefault="00634CB6">
      <w:r>
        <w:br w:type="page"/>
      </w:r>
    </w:p>
    <w:p w14:paraId="0D016697" w14:textId="77777777" w:rsidR="00AD4A06" w:rsidRDefault="00634CB6">
      <w:pPr>
        <w:pStyle w:val="Heading2"/>
      </w:pPr>
      <w:bookmarkStart w:id="3" w:name="assumptions"/>
      <w:r>
        <w:lastRenderedPageBreak/>
        <w:t>Assumptions</w:t>
      </w:r>
    </w:p>
    <w:p w14:paraId="209447A3" w14:textId="77777777" w:rsidR="00AD4A06" w:rsidRDefault="00634CB6">
      <w:pPr>
        <w:pStyle w:val="FirstParagraph"/>
      </w:pPr>
      <w:r>
        <w:t xml:space="preserve">The first key assumption of a GRM is that </w:t>
      </w:r>
      <m:oMath>
        <m:r>
          <w:rPr>
            <w:rFonts w:ascii="Cambria Math" w:hAnsi="Cambria Math"/>
          </w:rPr>
          <m:t>θ</m:t>
        </m:r>
      </m:oMath>
      <w:r>
        <w:t xml:space="preserve"> is monotonically correlated with the probability of endorsing a response category. More sharply, individuals with higher levels of </w:t>
      </w:r>
      <m:oMath>
        <m:r>
          <w:rPr>
            <w:rFonts w:ascii="Cambria Math" w:hAnsi="Cambria Math"/>
          </w:rPr>
          <m:t>θ</m:t>
        </m:r>
      </m:oMath>
      <w:r>
        <w:t xml:space="preserve"> should have a higher probability of endorsing response category that represents greater intensity of the traits (Hambleton et al., 2010). For instance, people with a higher tendency of sadistic personality have a greater chance of answering “</w:t>
      </w:r>
      <w:r>
        <w:rPr>
          <w:i/>
          <w:iCs/>
        </w:rPr>
        <w:t>moderately agree</w:t>
      </w:r>
      <w:r>
        <w:t>” or “</w:t>
      </w:r>
      <w:r>
        <w:rPr>
          <w:i/>
          <w:iCs/>
        </w:rPr>
        <w:t>strongly agree</w:t>
      </w:r>
      <w:r>
        <w:t>” on a sadism scale compared to those with lower levels of sadism.</w:t>
      </w:r>
    </w:p>
    <w:p w14:paraId="41D4897A" w14:textId="77777777" w:rsidR="00AD4A06" w:rsidRDefault="00634CB6">
      <w:pPr>
        <w:pStyle w:val="BodyText"/>
      </w:pPr>
      <w:r>
        <w:t xml:space="preserve">The second key assumption pertains to the unidimensionality of </w:t>
      </w:r>
      <m:oMath>
        <m:r>
          <w:rPr>
            <w:rFonts w:ascii="Cambria Math" w:hAnsi="Cambria Math"/>
          </w:rPr>
          <m:t>θ</m:t>
        </m:r>
      </m:oMath>
      <w:r>
        <w:t>. This implies that the item pool tested using a GRM analysis should represent only one latent trait (</w:t>
      </w:r>
      <m:oMath>
        <m:r>
          <w:rPr>
            <w:rFonts w:ascii="Cambria Math" w:hAnsi="Cambria Math"/>
          </w:rPr>
          <m:t>θ</m:t>
        </m:r>
      </m:oMath>
      <w:r>
        <w:t xml:space="preserve">). Although it is indeed possible to account for multiple </w:t>
      </w:r>
      <m:oMath>
        <m:r>
          <w:rPr>
            <w:rFonts w:ascii="Cambria Math" w:hAnsi="Cambria Math"/>
          </w:rPr>
          <m:t>θ</m:t>
        </m:r>
      </m:oMath>
      <w:r>
        <w:t xml:space="preserve"> in an IRT model (multidimensional IRT) we limit the scope of our tutorial to the unidimensional GRM. A unidimensional IRT model can still be robustly applied to multidimensional data if multiple latent traits are moderately intercorrelated or when there is a strong general factor (</w:t>
      </w:r>
      <w:r>
        <w:rPr>
          <w:i/>
          <w:iCs/>
        </w:rPr>
        <w:t>g</w:t>
      </w:r>
      <w:r>
        <w:t xml:space="preserve">) underlying the data (Reise et al., 2015). To test whether an item pool represents only one </w:t>
      </w:r>
      <m:oMath>
        <m:r>
          <w:rPr>
            <w:rFonts w:ascii="Cambria Math" w:hAnsi="Cambria Math"/>
          </w:rPr>
          <m:t>θ</m:t>
        </m:r>
      </m:oMath>
      <w:r>
        <w:t>, researchers can apply a parallel analysis or a factor analysis, before specifying their GRM models.</w:t>
      </w:r>
    </w:p>
    <w:p w14:paraId="10B5A010" w14:textId="77777777" w:rsidR="00AD4A06" w:rsidRDefault="00634CB6">
      <w:pPr>
        <w:pStyle w:val="BodyText"/>
      </w:pPr>
      <w:r>
        <w:t>Relatedly, a GRM model assumes that the item pool is locally independent, as the third assumption. Local independence suggests that participants’ responses to one item do not influence their response to another. It is important to note that evidence for unidimensionality does not always warrant local independence. As an eyeball example - consider a scale measuring trust in science, which contains: “</w:t>
      </w:r>
      <w:r>
        <w:rPr>
          <w:i/>
          <w:iCs/>
        </w:rPr>
        <w:t>I trust scientists working in natural science</w:t>
      </w:r>
      <w:r>
        <w:t>” and “</w:t>
      </w:r>
      <w:r>
        <w:rPr>
          <w:i/>
          <w:iCs/>
        </w:rPr>
        <w:t>Most biologists are trustworthy</w:t>
      </w:r>
      <w:r>
        <w:t xml:space="preserve">.” While both items might measure the same latent trait (i.e., trust in science), those who trust scientists working in natural science are very likely to also trust biologists. To test whether items are locally independent, researchers can examine the </w:t>
      </w:r>
      <w:r>
        <w:lastRenderedPageBreak/>
        <w:t xml:space="preserve">relationships between item responses after accounting for </w:t>
      </w:r>
      <m:oMath>
        <m:r>
          <w:rPr>
            <w:rFonts w:ascii="Cambria Math" w:hAnsi="Cambria Math"/>
          </w:rPr>
          <m:t>θ</m:t>
        </m:r>
      </m:oMath>
      <w:r>
        <w:t xml:space="preserve"> by performing residual correlation analysis (Chen &amp; Thissen, 1997).</w:t>
      </w:r>
    </w:p>
    <w:p w14:paraId="69D8AC1F" w14:textId="77777777" w:rsidR="00AD4A06" w:rsidRDefault="00634CB6">
      <w:pPr>
        <w:pStyle w:val="Heading1"/>
      </w:pPr>
      <w:bookmarkStart w:id="4" w:name="Xf9c4c6d9a99bfe8f722303d094587909f1e3134"/>
      <w:bookmarkEnd w:id="1"/>
      <w:bookmarkEnd w:id="3"/>
      <w:r>
        <w:t>An Illustrative Example of Graded Response Model: The Right Wing Authoritarianism (RWA) Scale</w:t>
      </w:r>
    </w:p>
    <w:p w14:paraId="7EADB61A" w14:textId="77777777" w:rsidR="00AD4A06" w:rsidRDefault="00634CB6">
      <w:pPr>
        <w:pStyle w:val="Heading2"/>
      </w:pPr>
      <w:bookmarkStart w:id="5" w:name="X6ca918c12bc5941f76ff0eee453f1f98e40d225"/>
      <w:r>
        <w:t>A Brief Overview of the Altemeyer’s RWA Scale</w:t>
      </w:r>
    </w:p>
    <w:p w14:paraId="264EA5F4" w14:textId="77777777" w:rsidR="00AD4A06" w:rsidRDefault="00634CB6">
      <w:pPr>
        <w:pStyle w:val="FirstParagraph"/>
      </w:pPr>
      <w:r>
        <w:t>To illustrate the application of GRM for analyzing measurement precision of an ordered polytomous scale, we provide an example of a GRM analysis of the RWA scale data (Altemeyer, 2006). Altemeyer (2006) defines RWA as a personality propensity to blindly abide by established authorities (i.e., authoritarian submission), to act aggressively toward individuals who are perceived to be punished by these established authorities (i.e., authoritarian aggression), and to uphold traditional values promoted by the authorities (i.e., conventionalism). Individuals with higher levels of RWA tend to view the world as a dangerous place (Duckitt &amp; Sibley, 2017), and thus, to ensure stability and safety, they are motivated to preserve social order by deferring to those whom they perceive as legal, social, or moral authorities; for instance, the government, religious institutions, or political or religious or military leaders (Saunders &amp; Ngo, 2017). The RWA scale remains one of the most important measures in the field of social and political psychology, and has helped researchers to conceptualize the role of RWA in shaping various social psychological outcomes, such as prejudice, political behavior, and various antisocial behaviors (Osborne et al., 2023).</w:t>
      </w:r>
    </w:p>
    <w:p w14:paraId="4A20AEA3" w14:textId="77777777" w:rsidR="00AD4A06" w:rsidRDefault="00634CB6">
      <w:pPr>
        <w:pStyle w:val="BodyText"/>
      </w:pPr>
      <w:r>
        <w:t>In this paper, we use the most recent version of the RWA scale (Altemeyer, 2006), which consists of 22 items in which participants are asked to indicate their agreement with the items on a nine-point scale ranging from “</w:t>
      </w:r>
      <w:r>
        <w:rPr>
          <w:i/>
          <w:iCs/>
        </w:rPr>
        <w:t>strongly disagree</w:t>
      </w:r>
      <w:r>
        <w:t>” (-4) to “</w:t>
      </w:r>
      <w:r>
        <w:rPr>
          <w:i/>
          <w:iCs/>
        </w:rPr>
        <w:t>strongly agree</w:t>
      </w:r>
      <w:r>
        <w:t xml:space="preserve">” (+4). While the RWA scale consists of three sub-dimensions, i.e., Submissiveness, Aggression, and </w:t>
      </w:r>
      <w:r>
        <w:lastRenderedPageBreak/>
        <w:t>Conventionalism, the RWA scale is theoretically assumed to be unidimensional because (Altemeyer, 2006) shows that these sub-dimensions are strongly intercorrelated. While there is some evidence to the contrary (Duckitt &amp; Bizumic, 2013), for the purposes of this article we will assume that the RWA scale is unidimensional.</w:t>
      </w:r>
    </w:p>
    <w:p w14:paraId="04AE1DED" w14:textId="77777777" w:rsidR="00AD4A06" w:rsidRDefault="00634CB6">
      <w:pPr>
        <w:pStyle w:val="Heading1"/>
      </w:pPr>
      <w:bookmarkStart w:id="6" w:name="X41a7ac8951a78c98b78736141913736526b1e13"/>
      <w:bookmarkEnd w:id="4"/>
      <w:bookmarkEnd w:id="5"/>
      <w:r>
        <w:t>Disclosure and Data Availability Statements</w:t>
      </w:r>
    </w:p>
    <w:p w14:paraId="076AED5A" w14:textId="77777777" w:rsidR="00AD4A06" w:rsidRDefault="00634CB6">
      <w:pPr>
        <w:pStyle w:val="FirstParagraph"/>
      </w:pPr>
      <w:r>
        <w:t xml:space="preserve">To maximize the reproducibility of our illustrative example, we wrote the article as a Quarto (.qmd) document, where we integrate the R codes used in the analysis as well as its outputs. We also include a longer, annotated R script file (.R) for the example we used as a supplementary document, which we highly recommend to use for a didactic purpose. The Quarto file (and its corresponding .docx and .pdf output) and R script file are publicly available on </w:t>
      </w:r>
      <w:hyperlink>
        <w:r>
          <w:rPr>
            <w:rStyle w:val="Hyperlink"/>
          </w:rPr>
          <w:t>a Github repository</w:t>
        </w:r>
      </w:hyperlink>
      <w:r>
        <w:t xml:space="preserve">. The dataset we used in this tutorial paper was obtained from a publicly accessible </w:t>
      </w:r>
      <w:hyperlink r:id="rId8">
        <w:r>
          <w:rPr>
            <w:rStyle w:val="Hyperlink"/>
          </w:rPr>
          <w:t>Open-Source Psychometrics Project</w:t>
        </w:r>
      </w:hyperlink>
      <w:r>
        <w:t>.</w:t>
      </w:r>
    </w:p>
    <w:p w14:paraId="697EB4EA" w14:textId="77777777" w:rsidR="00AD4A06" w:rsidRDefault="00634CB6">
      <w:pPr>
        <w:pStyle w:val="Heading2"/>
      </w:pPr>
      <w:bookmarkStart w:id="7" w:name="step-1-data-preparation"/>
      <w:r>
        <w:t>Step 1: Data Preparation</w:t>
      </w:r>
    </w:p>
    <w:p w14:paraId="771A14A9" w14:textId="77777777" w:rsidR="00AD4A06" w:rsidRDefault="00634CB6">
      <w:pPr>
        <w:pStyle w:val="FirstParagraph"/>
      </w:pPr>
      <w:r>
        <w:t xml:space="preserve">Before running the analysis, we need to install the necessary R packages, which are, </w:t>
      </w:r>
      <w:r>
        <w:rPr>
          <w:i/>
          <w:iCs/>
        </w:rPr>
        <w:t>mirt</w:t>
      </w:r>
      <w:r>
        <w:t xml:space="preserve"> (Chalmers, 2012; Chalmers et al., 2023), </w:t>
      </w:r>
      <w:r>
        <w:rPr>
          <w:i/>
          <w:iCs/>
        </w:rPr>
        <w:t>psych</w:t>
      </w:r>
      <w:r>
        <w:t xml:space="preserve"> (Revelle, 2023), </w:t>
      </w:r>
      <w:r>
        <w:rPr>
          <w:i/>
          <w:iCs/>
        </w:rPr>
        <w:t>ggmirt</w:t>
      </w:r>
      <w:r>
        <w:t xml:space="preserve"> (Masur, 2023), and </w:t>
      </w:r>
      <w:r>
        <w:rPr>
          <w:i/>
          <w:iCs/>
        </w:rPr>
        <w:t>caret</w:t>
      </w:r>
      <w:r>
        <w:t xml:space="preserve"> (Kuhn, 2024) with these following commands:</w:t>
      </w:r>
    </w:p>
    <w:p w14:paraId="296B0316" w14:textId="77777777" w:rsidR="00AD4A06" w:rsidRDefault="00634CB6">
      <w:pPr>
        <w:pStyle w:val="SourceCode"/>
      </w:pPr>
      <w:r>
        <w:rPr>
          <w:rStyle w:val="FunctionTok"/>
        </w:rPr>
        <w:t>install.packages</w:t>
      </w:r>
      <w:r>
        <w:rPr>
          <w:rStyle w:val="NormalTok"/>
        </w:rPr>
        <w:t>(</w:t>
      </w:r>
      <w:r>
        <w:rPr>
          <w:rStyle w:val="StringTok"/>
        </w:rPr>
        <w:t>"tidyverse"</w:t>
      </w:r>
      <w:r>
        <w:rPr>
          <w:rStyle w:val="NormalTok"/>
        </w:rPr>
        <w:t xml:space="preserve">, </w:t>
      </w:r>
      <w:r>
        <w:rPr>
          <w:rStyle w:val="CommentTok"/>
        </w:rPr>
        <w:t># for data wrangling</w:t>
      </w:r>
      <w:r>
        <w:br/>
      </w:r>
      <w:r>
        <w:rPr>
          <w:rStyle w:val="NormalTok"/>
        </w:rPr>
        <w:t xml:space="preserve">                 </w:t>
      </w:r>
      <w:r>
        <w:rPr>
          <w:rStyle w:val="StringTok"/>
        </w:rPr>
        <w:t>"psych"</w:t>
      </w:r>
      <w:r>
        <w:rPr>
          <w:rStyle w:val="NormalTok"/>
        </w:rPr>
        <w:t xml:space="preserve">, </w:t>
      </w:r>
      <w:r>
        <w:rPr>
          <w:rStyle w:val="CommentTok"/>
        </w:rPr>
        <w:t># for descriptive statistics and unidimensionality test</w:t>
      </w:r>
      <w:r>
        <w:br/>
      </w:r>
      <w:r>
        <w:rPr>
          <w:rStyle w:val="NormalTok"/>
        </w:rPr>
        <w:t xml:space="preserve">                 </w:t>
      </w:r>
      <w:r>
        <w:rPr>
          <w:rStyle w:val="StringTok"/>
        </w:rPr>
        <w:t>"devtools"</w:t>
      </w:r>
      <w:r>
        <w:rPr>
          <w:rStyle w:val="NormalTok"/>
        </w:rPr>
        <w:t xml:space="preserve">, </w:t>
      </w:r>
      <w:r>
        <w:rPr>
          <w:rStyle w:val="CommentTok"/>
        </w:rPr>
        <w:t># for installing R package that is not available on CRAN</w:t>
      </w:r>
      <w:r>
        <w:br/>
      </w:r>
      <w:r>
        <w:rPr>
          <w:rStyle w:val="NormalTok"/>
        </w:rPr>
        <w:t xml:space="preserve">                 </w:t>
      </w:r>
      <w:r>
        <w:rPr>
          <w:rStyle w:val="StringTok"/>
        </w:rPr>
        <w:t>"mirt"</w:t>
      </w:r>
      <w:r>
        <w:rPr>
          <w:rStyle w:val="NormalTok"/>
        </w:rPr>
        <w:t xml:space="preserve">, </w:t>
      </w:r>
      <w:r>
        <w:rPr>
          <w:rStyle w:val="CommentTok"/>
        </w:rPr>
        <w:t># for conducting the main GRM analysis</w:t>
      </w:r>
      <w:r>
        <w:br/>
      </w:r>
      <w:r>
        <w:rPr>
          <w:rStyle w:val="NormalTok"/>
        </w:rPr>
        <w:t xml:space="preserve">                 </w:t>
      </w:r>
      <w:r>
        <w:rPr>
          <w:rStyle w:val="StringTok"/>
        </w:rPr>
        <w:t>"caret"</w:t>
      </w:r>
      <w:r>
        <w:rPr>
          <w:rStyle w:val="NormalTok"/>
        </w:rPr>
        <w:t xml:space="preserve">, </w:t>
      </w:r>
      <w:r>
        <w:rPr>
          <w:rStyle w:val="CommentTok"/>
        </w:rPr>
        <w:t># for helping us detecting large residuals correlat</w:t>
      </w:r>
      <w:r>
        <w:rPr>
          <w:rStyle w:val="CommentTok"/>
        </w:rPr>
        <w:lastRenderedPageBreak/>
        <w:t>ion (local independence test)</w:t>
      </w:r>
      <w:r>
        <w:br/>
      </w:r>
      <w:r>
        <w:rPr>
          <w:rStyle w:val="NormalTok"/>
        </w:rPr>
        <w:t xml:space="preserve">                 </w:t>
      </w:r>
      <w:r>
        <w:rPr>
          <w:rStyle w:val="AttributeTok"/>
        </w:rPr>
        <w:t>dependencies=</w:t>
      </w:r>
      <w:r>
        <w:rPr>
          <w:rStyle w:val="ConstantTok"/>
        </w:rPr>
        <w:t>TRUE</w:t>
      </w:r>
      <w:r>
        <w:rPr>
          <w:rStyle w:val="NormalTok"/>
        </w:rPr>
        <w:t>)</w:t>
      </w:r>
      <w:r>
        <w:br/>
      </w:r>
      <w:r>
        <w:rPr>
          <w:rStyle w:val="NormalTok"/>
        </w:rPr>
        <w:t>devtools</w:t>
      </w:r>
      <w:r>
        <w:rPr>
          <w:rStyle w:val="SpecialCharTok"/>
        </w:rPr>
        <w:t>::</w:t>
      </w:r>
      <w:r>
        <w:rPr>
          <w:rStyle w:val="FunctionTok"/>
        </w:rPr>
        <w:t>install_github</w:t>
      </w:r>
      <w:r>
        <w:rPr>
          <w:rStyle w:val="NormalTok"/>
        </w:rPr>
        <w:t>(</w:t>
      </w:r>
      <w:r>
        <w:rPr>
          <w:rStyle w:val="StringTok"/>
        </w:rPr>
        <w:t>"masurp/ggmirt"</w:t>
      </w:r>
      <w:r>
        <w:rPr>
          <w:rStyle w:val="NormalTok"/>
        </w:rPr>
        <w:t xml:space="preserve">) </w:t>
      </w:r>
      <w:r>
        <w:rPr>
          <w:rStyle w:val="CommentTok"/>
        </w:rPr>
        <w:t># remote ggmirt installation through GitHub repository</w:t>
      </w:r>
    </w:p>
    <w:p w14:paraId="369D0AC1" w14:textId="77777777" w:rsidR="00AD4A06" w:rsidRDefault="00634CB6">
      <w:pPr>
        <w:pStyle w:val="FirstParagraph"/>
      </w:pPr>
      <w:r>
        <w:t xml:space="preserve">The above command also automatically requests to install dependency packages. Note that we install </w:t>
      </w:r>
      <w:r>
        <w:rPr>
          <w:i/>
          <w:iCs/>
        </w:rPr>
        <w:t>ggmirt</w:t>
      </w:r>
      <w:r>
        <w:t xml:space="preserve"> directly from its GitHub repository because </w:t>
      </w:r>
      <w:r>
        <w:rPr>
          <w:i/>
          <w:iCs/>
        </w:rPr>
        <w:t>ggmirt</w:t>
      </w:r>
      <w:r>
        <w:t xml:space="preserve"> is not yet available in the Comprehensive R Archive Network (CRAN). Next, we should activate the R packages by typing a command as follows:</w:t>
      </w:r>
    </w:p>
    <w:p w14:paraId="3BBBAC01" w14:textId="77777777" w:rsidR="00AD4A06" w:rsidRDefault="00634CB6">
      <w:pPr>
        <w:pStyle w:val="SourceCode"/>
      </w:pPr>
      <w:r>
        <w:rPr>
          <w:rStyle w:val="FunctionTok"/>
        </w:rPr>
        <w:t>library</w:t>
      </w:r>
      <w:r>
        <w:rPr>
          <w:rStyle w:val="NormalTok"/>
        </w:rPr>
        <w:t xml:space="preserve">(mirt); </w:t>
      </w:r>
      <w:r>
        <w:rPr>
          <w:rStyle w:val="FunctionTok"/>
        </w:rPr>
        <w:t>library</w:t>
      </w:r>
      <w:r>
        <w:rPr>
          <w:rStyle w:val="NormalTok"/>
        </w:rPr>
        <w:t xml:space="preserve">(ggmirt); </w:t>
      </w:r>
      <w:r>
        <w:rPr>
          <w:rStyle w:val="FunctionTok"/>
        </w:rPr>
        <w:t>library</w:t>
      </w:r>
      <w:r>
        <w:rPr>
          <w:rStyle w:val="NormalTok"/>
        </w:rPr>
        <w:t xml:space="preserve">(psych); </w:t>
      </w:r>
      <w:r>
        <w:rPr>
          <w:rStyle w:val="FunctionTok"/>
        </w:rPr>
        <w:t>library</w:t>
      </w:r>
      <w:r>
        <w:rPr>
          <w:rStyle w:val="NormalTok"/>
        </w:rPr>
        <w:t xml:space="preserve">(tidyverse); </w:t>
      </w:r>
      <w:r>
        <w:rPr>
          <w:rStyle w:val="FunctionTok"/>
        </w:rPr>
        <w:t>library</w:t>
      </w:r>
      <w:r>
        <w:rPr>
          <w:rStyle w:val="NormalTok"/>
        </w:rPr>
        <w:t>(caret)</w:t>
      </w:r>
    </w:p>
    <w:p w14:paraId="57C2015B" w14:textId="77777777" w:rsidR="00AD4A06" w:rsidRDefault="00634CB6">
      <w:pPr>
        <w:pStyle w:val="FirstParagraph"/>
      </w:pPr>
      <w:r>
        <w:t>Now after the packages are activated, we need to import the dataset to our R environment. The dataset (</w:t>
      </w:r>
      <w:r>
        <w:rPr>
          <w:rStyle w:val="VerbatimChar"/>
        </w:rPr>
        <w:t>data.csv</w:t>
      </w:r>
      <w:r>
        <w:t>) and codebook (</w:t>
      </w:r>
      <w:r>
        <w:rPr>
          <w:rStyle w:val="VerbatimChar"/>
        </w:rPr>
        <w:t>codebook.txt</w:t>
      </w:r>
      <w:r>
        <w:t xml:space="preserve">) are available in </w:t>
      </w:r>
      <w:r>
        <w:rPr>
          <w:rStyle w:val="VerbatimChar"/>
        </w:rPr>
        <w:t>data</w:t>
      </w:r>
      <w:r>
        <w:t xml:space="preserve"> folder in our repository. Readers can download them from our repository and then simply import the dataset with the following command:</w:t>
      </w:r>
    </w:p>
    <w:p w14:paraId="0B0F7CA2" w14:textId="77777777" w:rsidR="00AD4A06" w:rsidRDefault="00634CB6">
      <w:pPr>
        <w:pStyle w:val="SourceCode"/>
      </w:pPr>
      <w:r>
        <w:rPr>
          <w:rStyle w:val="NormalTok"/>
        </w:rPr>
        <w:t xml:space="preserve">ds </w:t>
      </w:r>
      <w:r>
        <w:rPr>
          <w:rStyle w:val="OtherTok"/>
        </w:rPr>
        <w:t>&lt;-</w:t>
      </w:r>
      <w:r>
        <w:rPr>
          <w:rStyle w:val="NormalTok"/>
        </w:rPr>
        <w:t xml:space="preserve"> </w:t>
      </w:r>
      <w:r>
        <w:rPr>
          <w:rStyle w:val="FunctionTok"/>
        </w:rPr>
        <w:t>read.csv</w:t>
      </w:r>
      <w:r>
        <w:rPr>
          <w:rStyle w:val="NormalTok"/>
        </w:rPr>
        <w:t>(</w:t>
      </w:r>
      <w:r>
        <w:rPr>
          <w:rStyle w:val="StringTok"/>
        </w:rPr>
        <w:t>"data/data.csv"</w:t>
      </w:r>
      <w:r>
        <w:rPr>
          <w:rStyle w:val="NormalTok"/>
        </w:rPr>
        <w:t>)</w:t>
      </w:r>
    </w:p>
    <w:p w14:paraId="7462A071" w14:textId="77777777" w:rsidR="00AD4A06" w:rsidRDefault="00634CB6">
      <w:pPr>
        <w:pStyle w:val="FirstParagraph"/>
      </w:pPr>
      <w:r>
        <w:t>However, since the dataset is openly accessible in the Open Psychometrics webpage, readers can also directly import the dataset from the Open Psychometrics webpage to their R environment. For interested readers, we show how to do this in detail in our annotated R script file.</w:t>
      </w:r>
    </w:p>
    <w:p w14:paraId="5ADB1C80" w14:textId="77777777" w:rsidR="00AD4A06" w:rsidRDefault="00634CB6">
      <w:pPr>
        <w:pStyle w:val="BodyText"/>
      </w:pPr>
      <w:r>
        <w:t>Next, it is important to examine the structure of the data frame (</w:t>
      </w:r>
      <w:r>
        <w:rPr>
          <w:rStyle w:val="VerbatimChar"/>
        </w:rPr>
        <w:t>ds</w:t>
      </w:r>
      <w:r>
        <w:t xml:space="preserve">) to get a glimpse of its structure. By typing </w:t>
      </w:r>
      <w:r>
        <w:rPr>
          <w:rStyle w:val="VerbatimChar"/>
        </w:rPr>
        <w:t>str()</w:t>
      </w:r>
      <w:r>
        <w:t xml:space="preserve"> command, readers can examine the variables’ name, number of cases, types of variables (integer or character), and the values of each variable. Then readers can match the information provided in their R console to the codebook.</w:t>
      </w:r>
    </w:p>
    <w:p w14:paraId="17479593" w14:textId="77777777" w:rsidR="00AD4A06" w:rsidRDefault="00634CB6">
      <w:pPr>
        <w:pStyle w:val="SourceCode"/>
      </w:pPr>
      <w:r>
        <w:rPr>
          <w:rStyle w:val="FunctionTok"/>
        </w:rPr>
        <w:lastRenderedPageBreak/>
        <w:t>str</w:t>
      </w:r>
      <w:r>
        <w:rPr>
          <w:rStyle w:val="NormalTok"/>
        </w:rPr>
        <w:t>(ds)</w:t>
      </w:r>
    </w:p>
    <w:p w14:paraId="0CDD2655" w14:textId="77777777" w:rsidR="00AD4A06" w:rsidRDefault="00634CB6">
      <w:pPr>
        <w:pStyle w:val="FirstParagraph"/>
      </w:pPr>
      <w:r>
        <w:t xml:space="preserve">According to the information provided in the codebook, the responses to the RWA scale are denoted in </w:t>
      </w:r>
      <w:r>
        <w:rPr>
          <w:rStyle w:val="VerbatimChar"/>
        </w:rPr>
        <w:t>Q1</w:t>
      </w:r>
      <w:r>
        <w:t xml:space="preserve"> to </w:t>
      </w:r>
      <w:r>
        <w:rPr>
          <w:rStyle w:val="VerbatimChar"/>
        </w:rPr>
        <w:t>Q22</w:t>
      </w:r>
      <w:r>
        <w:t xml:space="preserve">, each representing the score of each item of the RWA scale. Readers can also see the information of </w:t>
      </w:r>
      <w:r>
        <w:rPr>
          <w:rStyle w:val="VerbatimChar"/>
        </w:rPr>
        <w:t>Q1</w:t>
      </w:r>
      <w:r>
        <w:t xml:space="preserve"> to </w:t>
      </w:r>
      <w:r>
        <w:rPr>
          <w:rStyle w:val="VerbatimChar"/>
        </w:rPr>
        <w:t>Q22</w:t>
      </w:r>
      <w:r>
        <w:t xml:space="preserve"> variables in their R console: these variables are integer and have values ranging from 1 to 9. In the codebook, there is no information regarding what these values (i.e., 1-9) mean. However, we could reasonably assume that participants who chose “</w:t>
      </w:r>
      <w:r>
        <w:rPr>
          <w:i/>
          <w:iCs/>
        </w:rPr>
        <w:t>strongly disagree</w:t>
      </w:r>
      <w:r>
        <w:t xml:space="preserve">” (-4) were scored </w:t>
      </w:r>
      <w:r>
        <w:rPr>
          <w:rStyle w:val="VerbatimChar"/>
        </w:rPr>
        <w:t>1</w:t>
      </w:r>
      <w:r>
        <w:t>, and those who opted for “</w:t>
      </w:r>
      <w:r>
        <w:rPr>
          <w:i/>
          <w:iCs/>
        </w:rPr>
        <w:t>strongly agree</w:t>
      </w:r>
      <w:r>
        <w:t xml:space="preserve">” (+4) were scored </w:t>
      </w:r>
      <w:r>
        <w:rPr>
          <w:rStyle w:val="VerbatimChar"/>
        </w:rPr>
        <w:t>9</w:t>
      </w:r>
      <w:r>
        <w:t>.</w:t>
      </w:r>
    </w:p>
    <w:p w14:paraId="652FE877" w14:textId="77777777" w:rsidR="00AD4A06" w:rsidRDefault="00634CB6">
      <w:pPr>
        <w:pStyle w:val="BodyText"/>
      </w:pPr>
      <w:r>
        <w:t>Please note that we are only interested in the responses of the RWA scale, so we should subset the dataset to contain only the variables we are interested in, and then, examine the structure again. To this end, readers can type these commands:</w:t>
      </w:r>
    </w:p>
    <w:p w14:paraId="120E54B2" w14:textId="77777777" w:rsidR="00AD4A06" w:rsidRDefault="00634CB6">
      <w:pPr>
        <w:pStyle w:val="SourceCode"/>
      </w:pPr>
      <w:r>
        <w:rPr>
          <w:rStyle w:val="NormalTok"/>
        </w:rPr>
        <w:t xml:space="preserve">rwa </w:t>
      </w:r>
      <w:r>
        <w:rPr>
          <w:rStyle w:val="OtherTok"/>
        </w:rPr>
        <w:t>&lt;-</w:t>
      </w:r>
      <w:r>
        <w:rPr>
          <w:rStyle w:val="NormalTok"/>
        </w:rPr>
        <w:t xml:space="preserve"> </w:t>
      </w:r>
      <w:r>
        <w:rPr>
          <w:rStyle w:val="FunctionTok"/>
        </w:rPr>
        <w:t>subset</w:t>
      </w:r>
      <w:r>
        <w:rPr>
          <w:rStyle w:val="NormalTok"/>
        </w:rPr>
        <w:t xml:space="preserve">(ds, </w:t>
      </w:r>
      <w:r>
        <w:rPr>
          <w:rStyle w:val="AttributeTok"/>
        </w:rPr>
        <w:t>select =</w:t>
      </w:r>
      <w:r>
        <w:rPr>
          <w:rStyle w:val="NormalTok"/>
        </w:rPr>
        <w:t xml:space="preserve"> Q1</w:t>
      </w:r>
      <w:r>
        <w:rPr>
          <w:rStyle w:val="SpecialCharTok"/>
        </w:rPr>
        <w:t>:</w:t>
      </w:r>
      <w:r>
        <w:rPr>
          <w:rStyle w:val="NormalTok"/>
        </w:rPr>
        <w:t>Q22)</w:t>
      </w:r>
      <w:r>
        <w:br/>
      </w:r>
      <w:r>
        <w:rPr>
          <w:rStyle w:val="FunctionTok"/>
        </w:rPr>
        <w:t>str</w:t>
      </w:r>
      <w:r>
        <w:rPr>
          <w:rStyle w:val="NormalTok"/>
        </w:rPr>
        <w:t>(rwa)</w:t>
      </w:r>
    </w:p>
    <w:p w14:paraId="1C76BDB6" w14:textId="77777777" w:rsidR="00AD4A06" w:rsidRDefault="00634CB6">
      <w:pPr>
        <w:pStyle w:val="FirstParagraph"/>
      </w:pPr>
      <w:r>
        <w:t xml:space="preserve">Here, we have a new data frame namely </w:t>
      </w:r>
      <w:r>
        <w:rPr>
          <w:rStyle w:val="VerbatimChar"/>
        </w:rPr>
        <w:t>rwa</w:t>
      </w:r>
      <w:r>
        <w:t>, which contains only the responses to the RWA scale (</w:t>
      </w:r>
      <w:r>
        <w:rPr>
          <w:rStyle w:val="VerbatimChar"/>
        </w:rPr>
        <w:t>Q1:Q22</w:t>
      </w:r>
      <w:r>
        <w:t xml:space="preserve">). In the data frame </w:t>
      </w:r>
      <w:r>
        <w:rPr>
          <w:rStyle w:val="VerbatimChar"/>
        </w:rPr>
        <w:t>rwa</w:t>
      </w:r>
      <w:r>
        <w:t>, we have 22 variables with 9,881 participants. Before proceeding to the analysis stage, we recommend readers to inspect descriptive statistics, which we explain the procedure in the next sub-section.</w:t>
      </w:r>
    </w:p>
    <w:p w14:paraId="7D365374" w14:textId="77777777" w:rsidR="00AD4A06" w:rsidRDefault="00634CB6">
      <w:pPr>
        <w:pStyle w:val="Heading2"/>
      </w:pPr>
      <w:bookmarkStart w:id="8" w:name="Xf8ec82b6bcab61e2891ae3c430cce02be3497b9"/>
      <w:bookmarkEnd w:id="7"/>
      <w:r>
        <w:t>Step 2: Inspecting Key Descriptive Statistics</w:t>
      </w:r>
    </w:p>
    <w:p w14:paraId="1A0F160A" w14:textId="77777777" w:rsidR="00AD4A06" w:rsidRDefault="00634CB6">
      <w:pPr>
        <w:pStyle w:val="FirstParagraph"/>
      </w:pPr>
      <w:r>
        <w:t xml:space="preserve">To efficiently examine descriptive statistics, readers can make use of </w:t>
      </w:r>
      <w:r>
        <w:rPr>
          <w:rStyle w:val="VerbatimChar"/>
        </w:rPr>
        <w:t>describe()</w:t>
      </w:r>
      <w:r>
        <w:t xml:space="preserve"> function from </w:t>
      </w:r>
      <w:r>
        <w:rPr>
          <w:i/>
          <w:iCs/>
        </w:rPr>
        <w:t>psych</w:t>
      </w:r>
      <w:r>
        <w:t xml:space="preserve"> package by typing a simple command:</w:t>
      </w:r>
    </w:p>
    <w:p w14:paraId="02903012" w14:textId="77777777" w:rsidR="00AD4A06" w:rsidRDefault="00634CB6">
      <w:pPr>
        <w:pStyle w:val="SourceCode"/>
      </w:pPr>
      <w:r>
        <w:rPr>
          <w:rStyle w:val="FunctionTok"/>
        </w:rPr>
        <w:t>describe</w:t>
      </w:r>
      <w:r>
        <w:rPr>
          <w:rStyle w:val="NormalTok"/>
        </w:rPr>
        <w:t>(rwa)</w:t>
      </w:r>
    </w:p>
    <w:p w14:paraId="20ADD5F3" w14:textId="77777777" w:rsidR="00AD4A06" w:rsidRDefault="00634CB6">
      <w:pPr>
        <w:pStyle w:val="FirstParagraph"/>
      </w:pPr>
      <w:r>
        <w:t xml:space="preserve">As readers can see in their R console, all variables have a minimum value of </w:t>
      </w:r>
      <w:r>
        <w:rPr>
          <w:rStyle w:val="VerbatimChar"/>
        </w:rPr>
        <w:t>0</w:t>
      </w:r>
      <w:r>
        <w:t xml:space="preserve">, while the minimum score should be </w:t>
      </w:r>
      <w:r>
        <w:rPr>
          <w:rStyle w:val="VerbatimChar"/>
        </w:rPr>
        <w:t>1</w:t>
      </w:r>
      <w:r>
        <w:t xml:space="preserve">. Again, there is no information provided in the codebook regarding </w:t>
      </w:r>
      <w:r>
        <w:lastRenderedPageBreak/>
        <w:t xml:space="preserve">what </w:t>
      </w:r>
      <w:r>
        <w:rPr>
          <w:rStyle w:val="VerbatimChar"/>
        </w:rPr>
        <w:t>0</w:t>
      </w:r>
      <w:r>
        <w:t xml:space="preserve"> actually represents. Therefore, before deciding what we should do next, it is better to find out how many </w:t>
      </w:r>
      <w:r>
        <w:rPr>
          <w:rStyle w:val="VerbatimChar"/>
        </w:rPr>
        <w:t>0</w:t>
      </w:r>
      <w:r>
        <w:t xml:space="preserve"> we have in the data frame. To this end, we can calculate the percentage of </w:t>
      </w:r>
      <w:r>
        <w:rPr>
          <w:rStyle w:val="VerbatimChar"/>
        </w:rPr>
        <w:t>0</w:t>
      </w:r>
      <w:r>
        <w:t xml:space="preserve"> in each item by running these commands:</w:t>
      </w:r>
    </w:p>
    <w:p w14:paraId="103FA8F2" w14:textId="77777777" w:rsidR="00AD4A06" w:rsidRDefault="00634CB6">
      <w:pPr>
        <w:pStyle w:val="SourceCode"/>
      </w:pPr>
      <w:r>
        <w:rPr>
          <w:rStyle w:val="NormalTok"/>
        </w:rPr>
        <w:t xml:space="preserve">zero </w:t>
      </w:r>
      <w:r>
        <w:rPr>
          <w:rStyle w:val="OtherTok"/>
        </w:rPr>
        <w:t>&lt;-</w:t>
      </w:r>
      <w:r>
        <w:rPr>
          <w:rStyle w:val="NormalTok"/>
        </w:rPr>
        <w:t xml:space="preserve"> </w:t>
      </w:r>
      <w:r>
        <w:rPr>
          <w:rStyle w:val="FunctionTok"/>
        </w:rPr>
        <w:t>colSums</w:t>
      </w:r>
      <w:r>
        <w:rPr>
          <w:rStyle w:val="NormalTok"/>
        </w:rPr>
        <w:t xml:space="preserve">(rwa </w:t>
      </w:r>
      <w:r>
        <w:rPr>
          <w:rStyle w:val="SpecialCharTok"/>
        </w:rPr>
        <w:t>==</w:t>
      </w:r>
      <w:r>
        <w:rPr>
          <w:rStyle w:val="NormalTok"/>
        </w:rPr>
        <w:t xml:space="preserve"> </w:t>
      </w:r>
      <w:r>
        <w:rPr>
          <w:rStyle w:val="DecValTok"/>
        </w:rPr>
        <w:t>0</w:t>
      </w:r>
      <w:r>
        <w:rPr>
          <w:rStyle w:val="NormalTok"/>
        </w:rPr>
        <w:t xml:space="preserve">) </w:t>
      </w:r>
      <w:r>
        <w:rPr>
          <w:rStyle w:val="SpecialCharTok"/>
        </w:rPr>
        <w:t>/</w:t>
      </w:r>
      <w:r>
        <w:rPr>
          <w:rStyle w:val="NormalTok"/>
        </w:rPr>
        <w:t xml:space="preserve"> </w:t>
      </w:r>
      <w:r>
        <w:rPr>
          <w:rStyle w:val="FunctionTok"/>
        </w:rPr>
        <w:t>nrow</w:t>
      </w:r>
      <w:r>
        <w:rPr>
          <w:rStyle w:val="NormalTok"/>
        </w:rPr>
        <w:t xml:space="preserve">(rwa) </w:t>
      </w:r>
      <w:r>
        <w:rPr>
          <w:rStyle w:val="SpecialCharTok"/>
        </w:rPr>
        <w:t>*</w:t>
      </w:r>
      <w:r>
        <w:rPr>
          <w:rStyle w:val="NormalTok"/>
        </w:rPr>
        <w:t xml:space="preserve"> </w:t>
      </w:r>
      <w:r>
        <w:rPr>
          <w:rStyle w:val="DecValTok"/>
        </w:rPr>
        <w:t>100</w:t>
      </w:r>
      <w:r>
        <w:rPr>
          <w:rStyle w:val="NormalTok"/>
        </w:rPr>
        <w:t xml:space="preserve"> </w:t>
      </w:r>
      <w:r>
        <w:rPr>
          <w:rStyle w:val="CommentTok"/>
        </w:rPr>
        <w:t># Computing the percentage of "0" in each column.</w:t>
      </w:r>
      <w:r>
        <w:br/>
      </w:r>
      <w:r>
        <w:rPr>
          <w:rStyle w:val="FunctionTok"/>
        </w:rPr>
        <w:t>print</w:t>
      </w:r>
      <w:r>
        <w:rPr>
          <w:rStyle w:val="NormalTok"/>
        </w:rPr>
        <w:t xml:space="preserve">(zero) </w:t>
      </w:r>
      <w:r>
        <w:rPr>
          <w:rStyle w:val="CommentTok"/>
        </w:rPr>
        <w:t># Showing the percentage of "0" for each item.</w:t>
      </w:r>
    </w:p>
    <w:p w14:paraId="219B5E6A" w14:textId="7AC4A95D" w:rsidR="00AD4A06" w:rsidRDefault="00634CB6">
      <w:pPr>
        <w:pStyle w:val="FirstParagraph"/>
      </w:pPr>
      <w:r>
        <w:t xml:space="preserve">After executing these commands, readers can see the percentage of </w:t>
      </w:r>
      <w:r>
        <w:rPr>
          <w:rStyle w:val="VerbatimChar"/>
        </w:rPr>
        <w:t>0</w:t>
      </w:r>
      <w:r>
        <w:t xml:space="preserve"> in each </w:t>
      </w:r>
      <w:r w:rsidR="00E34D19">
        <w:t>item</w:t>
      </w:r>
      <w:r>
        <w:t xml:space="preserve"> in their R console, which overall are very small, ranging from 0.09% to 0.32% of the total cases. Since the percentages are very small, </w:t>
      </w:r>
      <w:r>
        <w:rPr>
          <w:rStyle w:val="VerbatimChar"/>
        </w:rPr>
        <w:t>0</w:t>
      </w:r>
      <w:r>
        <w:t xml:space="preserve"> is likely a code for a missing value. It is important to note that </w:t>
      </w:r>
      <w:r>
        <w:rPr>
          <w:i/>
          <w:iCs/>
        </w:rPr>
        <w:t>mirt</w:t>
      </w:r>
      <w:r>
        <w:t xml:space="preserve"> package uses the Expected-Maximization (EM) algorithm to estimate model parameters, and the EM algorithm can handle missing values. If we decide to eliminate cases with missing values, we still have a sizable number of cases, nonetheless. Therefore, to simplify our analysis, we only keep cases with complete responses by executing these commands:</w:t>
      </w:r>
    </w:p>
    <w:p w14:paraId="7D0D025B" w14:textId="77777777" w:rsidR="00AD4A06" w:rsidRDefault="00634CB6">
      <w:pPr>
        <w:pStyle w:val="SourceCode"/>
      </w:pPr>
      <w:r>
        <w:rPr>
          <w:rStyle w:val="NormalTok"/>
        </w:rPr>
        <w:t xml:space="preserve">rwa </w:t>
      </w:r>
      <w:r>
        <w:rPr>
          <w:rStyle w:val="OtherTok"/>
        </w:rPr>
        <w:t>&lt;-</w:t>
      </w:r>
      <w:r>
        <w:rPr>
          <w:rStyle w:val="NormalTok"/>
        </w:rPr>
        <w:t xml:space="preserve"> rwa </w:t>
      </w:r>
      <w:r>
        <w:rPr>
          <w:rStyle w:val="SpecialCharTok"/>
        </w:rPr>
        <w:t>%&gt;%</w:t>
      </w:r>
      <w:r>
        <w:br/>
      </w:r>
      <w:r>
        <w:rPr>
          <w:rStyle w:val="NormalTok"/>
        </w:rPr>
        <w:t xml:space="preserve">  </w:t>
      </w:r>
      <w:r>
        <w:rPr>
          <w:rStyle w:val="FunctionTok"/>
        </w:rPr>
        <w:t>mutate_all</w:t>
      </w:r>
      <w:r>
        <w:rPr>
          <w:rStyle w:val="NormalTok"/>
        </w:rPr>
        <w:t>(</w:t>
      </w:r>
      <w:r>
        <w:rPr>
          <w:rStyle w:val="SpecialCharTok"/>
        </w:rPr>
        <w:t>~</w:t>
      </w:r>
      <w:r>
        <w:rPr>
          <w:rStyle w:val="FunctionTok"/>
        </w:rPr>
        <w:t>na_if</w:t>
      </w:r>
      <w:r>
        <w:rPr>
          <w:rStyle w:val="NormalTok"/>
        </w:rPr>
        <w:t xml:space="preserve">(., </w:t>
      </w:r>
      <w:r>
        <w:rPr>
          <w:rStyle w:val="DecValTok"/>
        </w:rPr>
        <w:t>0</w:t>
      </w:r>
      <w:r>
        <w:rPr>
          <w:rStyle w:val="NormalTok"/>
        </w:rPr>
        <w:t xml:space="preserve">)) </w:t>
      </w:r>
      <w:r>
        <w:rPr>
          <w:rStyle w:val="SpecialCharTok"/>
        </w:rPr>
        <w:t>%&gt;%</w:t>
      </w:r>
      <w:r>
        <w:rPr>
          <w:rStyle w:val="NormalTok"/>
        </w:rPr>
        <w:t xml:space="preserve">  </w:t>
      </w:r>
      <w:r>
        <w:rPr>
          <w:rStyle w:val="CommentTok"/>
        </w:rPr>
        <w:t># Recoding "0" with "NA" in all columns.</w:t>
      </w:r>
      <w:r>
        <w:br/>
      </w:r>
      <w:r>
        <w:rPr>
          <w:rStyle w:val="NormalTok"/>
        </w:rPr>
        <w:t xml:space="preserve">  </w:t>
      </w:r>
      <w:r>
        <w:rPr>
          <w:rStyle w:val="FunctionTok"/>
        </w:rPr>
        <w:t>drop_na</w:t>
      </w:r>
      <w:r>
        <w:rPr>
          <w:rStyle w:val="NormalTok"/>
        </w:rPr>
        <w:t xml:space="preserve">()  </w:t>
      </w:r>
      <w:r>
        <w:rPr>
          <w:rStyle w:val="CommentTok"/>
        </w:rPr>
        <w:t># Removing cases with any "NA" values.</w:t>
      </w:r>
    </w:p>
    <w:p w14:paraId="410FA55C" w14:textId="77777777" w:rsidR="00AD4A06" w:rsidRDefault="00634CB6">
      <w:pPr>
        <w:pStyle w:val="FirstParagraph"/>
      </w:pPr>
      <w:r>
        <w:t xml:space="preserve">If readers prefer to keep cases with missing values, especially when the sample size is low, readers can exclude </w:t>
      </w:r>
      <w:r>
        <w:rPr>
          <w:rStyle w:val="VerbatimChar"/>
        </w:rPr>
        <w:t>drop_na()</w:t>
      </w:r>
      <w:r>
        <w:t xml:space="preserve"> command.</w:t>
      </w:r>
    </w:p>
    <w:p w14:paraId="577BFC88" w14:textId="77777777" w:rsidR="00AD4A06" w:rsidRDefault="00634CB6">
      <w:pPr>
        <w:pStyle w:val="BodyText"/>
      </w:pPr>
      <w:r>
        <w:t>Interestingly, if we look at mean scores of the items, they seem to differ drastically. Some items have high mean scores, ranging from 6 to 7, but some of those are comparatively low. The RWA scale indeed has some unfavorable items but, again, there is no information in the codebook whether these unfavorable items have been reversely coded. However, if we look closely at ten items with high mean (</w:t>
      </w:r>
      <m:oMath>
        <m:acc>
          <m:accPr>
            <m:chr m:val="‾"/>
            <m:ctrlPr>
              <w:rPr>
                <w:rFonts w:ascii="Cambria Math" w:hAnsi="Cambria Math"/>
              </w:rPr>
            </m:ctrlPr>
          </m:accPr>
          <m:e>
            <m:r>
              <w:rPr>
                <w:rFonts w:ascii="Cambria Math" w:hAnsi="Cambria Math"/>
              </w:rPr>
              <m:t>x</m:t>
            </m:r>
          </m:e>
        </m:acc>
      </m:oMath>
      <w:r>
        <w:t xml:space="preserve"> &gt; 6), these are the items that are supposed to be </w:t>
      </w:r>
      <w:r>
        <w:lastRenderedPageBreak/>
        <w:t>unfavorable. Therefore, we can reasonably assume that unfavorable items have not been reversed in the original dataset, and we should do so by running these commands:</w:t>
      </w:r>
    </w:p>
    <w:p w14:paraId="0E001027" w14:textId="77777777" w:rsidR="00AD4A06" w:rsidRDefault="00634CB6">
      <w:pPr>
        <w:pStyle w:val="SourceCode"/>
      </w:pPr>
      <w:r>
        <w:rPr>
          <w:rStyle w:val="NormalTok"/>
        </w:rPr>
        <w:t xml:space="preserve">unfav </w:t>
      </w:r>
      <w:r>
        <w:rPr>
          <w:rStyle w:val="OtherTok"/>
        </w:rPr>
        <w:t>&lt;-</w:t>
      </w:r>
      <w:r>
        <w:rPr>
          <w:rStyle w:val="NormalTok"/>
        </w:rPr>
        <w:t xml:space="preserve"> </w:t>
      </w:r>
      <w:r>
        <w:rPr>
          <w:rStyle w:val="FunctionTok"/>
        </w:rPr>
        <w:t>c</w:t>
      </w:r>
      <w:r>
        <w:rPr>
          <w:rStyle w:val="NormalTok"/>
        </w:rPr>
        <w:t>(</w:t>
      </w:r>
      <w:r>
        <w:rPr>
          <w:rStyle w:val="StringTok"/>
        </w:rPr>
        <w:t>"Q4"</w:t>
      </w:r>
      <w:r>
        <w:rPr>
          <w:rStyle w:val="NormalTok"/>
        </w:rPr>
        <w:t>,</w:t>
      </w:r>
      <w:r>
        <w:rPr>
          <w:rStyle w:val="StringTok"/>
        </w:rPr>
        <w:t>"Q6"</w:t>
      </w:r>
      <w:r>
        <w:rPr>
          <w:rStyle w:val="NormalTok"/>
        </w:rPr>
        <w:t>,</w:t>
      </w:r>
      <w:r>
        <w:rPr>
          <w:rStyle w:val="StringTok"/>
        </w:rPr>
        <w:t>"Q8"</w:t>
      </w:r>
      <w:r>
        <w:rPr>
          <w:rStyle w:val="NormalTok"/>
        </w:rPr>
        <w:t>,</w:t>
      </w:r>
      <w:r>
        <w:rPr>
          <w:rStyle w:val="StringTok"/>
        </w:rPr>
        <w:t>"Q9"</w:t>
      </w:r>
      <w:r>
        <w:rPr>
          <w:rStyle w:val="NormalTok"/>
        </w:rPr>
        <w:t>,</w:t>
      </w:r>
      <w:r>
        <w:rPr>
          <w:rStyle w:val="StringTok"/>
        </w:rPr>
        <w:t>"Q11"</w:t>
      </w:r>
      <w:r>
        <w:rPr>
          <w:rStyle w:val="NormalTok"/>
        </w:rPr>
        <w:t>,</w:t>
      </w:r>
      <w:r>
        <w:rPr>
          <w:rStyle w:val="StringTok"/>
        </w:rPr>
        <w:t>"Q13"</w:t>
      </w:r>
      <w:r>
        <w:rPr>
          <w:rStyle w:val="NormalTok"/>
        </w:rPr>
        <w:t>,</w:t>
      </w:r>
      <w:r>
        <w:rPr>
          <w:rStyle w:val="StringTok"/>
        </w:rPr>
        <w:t>"Q15"</w:t>
      </w:r>
      <w:r>
        <w:rPr>
          <w:rStyle w:val="NormalTok"/>
        </w:rPr>
        <w:t>,</w:t>
      </w:r>
      <w:r>
        <w:rPr>
          <w:rStyle w:val="StringTok"/>
        </w:rPr>
        <w:t>"Q18"</w:t>
      </w:r>
      <w:r>
        <w:rPr>
          <w:rStyle w:val="NormalTok"/>
        </w:rPr>
        <w:t>,</w:t>
      </w:r>
      <w:r>
        <w:rPr>
          <w:rStyle w:val="StringTok"/>
        </w:rPr>
        <w:t>"Q20"</w:t>
      </w:r>
      <w:r>
        <w:rPr>
          <w:rStyle w:val="NormalTok"/>
        </w:rPr>
        <w:t>,</w:t>
      </w:r>
      <w:r>
        <w:rPr>
          <w:rStyle w:val="StringTok"/>
        </w:rPr>
        <w:t>"Q21"</w:t>
      </w:r>
      <w:r>
        <w:rPr>
          <w:rStyle w:val="NormalTok"/>
        </w:rPr>
        <w:t xml:space="preserve">) </w:t>
      </w:r>
      <w:r>
        <w:rPr>
          <w:rStyle w:val="CommentTok"/>
        </w:rPr>
        <w:t># Now we create a vector defining which items will be coded reversely.</w:t>
      </w:r>
      <w:r>
        <w:br/>
      </w:r>
      <w:r>
        <w:rPr>
          <w:rStyle w:val="NormalTok"/>
        </w:rPr>
        <w:t xml:space="preserve">rwa </w:t>
      </w:r>
      <w:r>
        <w:rPr>
          <w:rStyle w:val="OtherTok"/>
        </w:rPr>
        <w:t>&lt;-</w:t>
      </w:r>
      <w:r>
        <w:rPr>
          <w:rStyle w:val="NormalTok"/>
        </w:rPr>
        <w:t xml:space="preserve"> rwa </w:t>
      </w:r>
      <w:r>
        <w:rPr>
          <w:rStyle w:val="SpecialCharTok"/>
        </w:rPr>
        <w:t>%&gt;%</w:t>
      </w:r>
      <w:r>
        <w:rPr>
          <w:rStyle w:val="NormalTok"/>
        </w:rPr>
        <w:t xml:space="preserve"> </w:t>
      </w:r>
      <w:r>
        <w:br/>
      </w:r>
      <w:r>
        <w:rPr>
          <w:rStyle w:val="NormalTok"/>
        </w:rPr>
        <w:t xml:space="preserve">  </w:t>
      </w:r>
      <w:r>
        <w:rPr>
          <w:rStyle w:val="FunctionTok"/>
        </w:rPr>
        <w:t>mutate</w:t>
      </w:r>
      <w:r>
        <w:rPr>
          <w:rStyle w:val="NormalTok"/>
        </w:rPr>
        <w:t>(</w:t>
      </w:r>
      <w:r>
        <w:rPr>
          <w:rStyle w:val="FunctionTok"/>
        </w:rPr>
        <w:t>across</w:t>
      </w:r>
      <w:r>
        <w:rPr>
          <w:rStyle w:val="NormalTok"/>
        </w:rPr>
        <w:t>(</w:t>
      </w:r>
      <w:r>
        <w:rPr>
          <w:rStyle w:val="FunctionTok"/>
        </w:rPr>
        <w:t>all_of</w:t>
      </w:r>
      <w:r>
        <w:rPr>
          <w:rStyle w:val="NormalTok"/>
        </w:rPr>
        <w:t xml:space="preserve">(unfav), </w:t>
      </w:r>
      <w:r>
        <w:rPr>
          <w:rStyle w:val="SpecialCharTok"/>
        </w:rPr>
        <w:t>~</w:t>
      </w:r>
      <w:r>
        <w:rPr>
          <w:rStyle w:val="NormalTok"/>
        </w:rPr>
        <w:t xml:space="preserve"> </w:t>
      </w:r>
      <w:r>
        <w:rPr>
          <w:rStyle w:val="DecValTok"/>
        </w:rPr>
        <w:t>10</w:t>
      </w:r>
      <w:r>
        <w:rPr>
          <w:rStyle w:val="NormalTok"/>
        </w:rPr>
        <w:t xml:space="preserve"> </w:t>
      </w:r>
      <w:r>
        <w:rPr>
          <w:rStyle w:val="SpecialCharTok"/>
        </w:rPr>
        <w:t>-</w:t>
      </w:r>
      <w:r>
        <w:rPr>
          <w:rStyle w:val="NormalTok"/>
        </w:rPr>
        <w:t xml:space="preserve"> .))</w:t>
      </w:r>
      <w:r>
        <w:rPr>
          <w:rStyle w:val="CommentTok"/>
        </w:rPr>
        <w:t># We simply subtract the scores from 9 (the maximum) + 1 to reverse code the unfavorable items.</w:t>
      </w:r>
    </w:p>
    <w:p w14:paraId="416F1A35" w14:textId="2D699B56" w:rsidR="00AD4A06" w:rsidRDefault="00634CB6">
      <w:pPr>
        <w:pStyle w:val="FirstParagraph"/>
      </w:pPr>
      <w:r>
        <w:t xml:space="preserve">First, we define a vector namely </w:t>
      </w:r>
      <w:r w:rsidRPr="499A05B6">
        <w:rPr>
          <w:rStyle w:val="VerbatimChar"/>
        </w:rPr>
        <w:t>unfav</w:t>
      </w:r>
      <w:r>
        <w:t xml:space="preserve"> to identify which items should be reversed, and then we use </w:t>
      </w:r>
      <w:r w:rsidRPr="499A05B6">
        <w:rPr>
          <w:rStyle w:val="VerbatimChar"/>
        </w:rPr>
        <w:t>mutate()</w:t>
      </w:r>
      <w:r>
        <w:t xml:space="preserve"> function to reverse the score. This is simply done by subtracting the values of the unfavorable items from the maximum score plus one. We can examine descriptive statistics of our modified data frame by running </w:t>
      </w:r>
      <w:r w:rsidRPr="499A05B6">
        <w:rPr>
          <w:rStyle w:val="VerbatimChar"/>
        </w:rPr>
        <w:t>describe()</w:t>
      </w:r>
      <w:r>
        <w:t xml:space="preserve"> function again, and as readers can see in Table </w:t>
      </w:r>
      <w:r w:rsidR="3750FE94">
        <w:t>1</w:t>
      </w:r>
      <w:r>
        <w:t xml:space="preserve">, now mean score across items does not drastically vary and has </w:t>
      </w:r>
      <w:r w:rsidRPr="499A05B6">
        <w:rPr>
          <w:rStyle w:val="VerbatimChar"/>
        </w:rPr>
        <w:t>1</w:t>
      </w:r>
      <w:r>
        <w:t xml:space="preserve"> as its minimum value.</w:t>
      </w:r>
    </w:p>
    <w:p w14:paraId="02EB378F" w14:textId="77777777" w:rsidR="00AD4A06" w:rsidRDefault="00634CB6">
      <w:r>
        <w:br w:type="page"/>
      </w:r>
    </w:p>
    <w:p w14:paraId="01743452" w14:textId="77777777" w:rsidR="00AD4A06" w:rsidRDefault="00634CB6">
      <w:pPr>
        <w:pStyle w:val="FigureTitle"/>
      </w:pPr>
      <w:bookmarkStart w:id="9" w:name="apatb-table1"/>
      <w:r>
        <w:lastRenderedPageBreak/>
        <w:t>Table 1</w:t>
      </w:r>
    </w:p>
    <w:bookmarkEnd w:id="9"/>
    <w:p w14:paraId="546275EA" w14:textId="77777777" w:rsidR="00AD4A06" w:rsidRDefault="00634CB6">
      <w:pPr>
        <w:pStyle w:val="Caption"/>
      </w:pPr>
      <w:r>
        <w:t>Descriptive Statistics of RWA Scale</w:t>
      </w:r>
    </w:p>
    <w:tbl>
      <w:tblPr>
        <w:tblW w:w="0" w:type="auto"/>
        <w:tblLayout w:type="fixed"/>
        <w:tblLook w:val="0420" w:firstRow="1" w:lastRow="0" w:firstColumn="0" w:lastColumn="0" w:noHBand="0" w:noVBand="1"/>
      </w:tblPr>
      <w:tblGrid>
        <w:gridCol w:w="1080"/>
        <w:gridCol w:w="1080"/>
        <w:gridCol w:w="1080"/>
        <w:gridCol w:w="1080"/>
        <w:gridCol w:w="1080"/>
        <w:gridCol w:w="1080"/>
        <w:gridCol w:w="1080"/>
      </w:tblGrid>
      <w:tr w:rsidR="00AD4A06" w14:paraId="08C887DA" w14:textId="77777777">
        <w:trPr>
          <w:tblHeader/>
        </w:trPr>
        <w:tc>
          <w:tcPr>
            <w:tcW w:w="1080" w:type="dxa"/>
            <w:tcBorders>
              <w:top w:val="single" w:sz="6" w:space="0" w:color="000000"/>
              <w:left w:val="none" w:sz="0" w:space="0" w:color="000000"/>
              <w:bottom w:val="single" w:sz="6" w:space="0" w:color="000000"/>
              <w:right w:val="none" w:sz="0" w:space="0" w:color="000000"/>
            </w:tcBorders>
            <w:shd w:val="clear" w:color="auto" w:fill="FFFFFF"/>
            <w:tcMar>
              <w:top w:w="0" w:type="dxa"/>
              <w:left w:w="0" w:type="dxa"/>
              <w:bottom w:w="0" w:type="dxa"/>
              <w:right w:w="0" w:type="dxa"/>
            </w:tcMar>
            <w:vAlign w:val="center"/>
          </w:tcPr>
          <w:p w14:paraId="769726BA" w14:textId="77777777" w:rsidR="00AD4A06" w:rsidRDefault="00634CB6">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Item</w:t>
            </w:r>
          </w:p>
        </w:tc>
        <w:tc>
          <w:tcPr>
            <w:tcW w:w="1080" w:type="dxa"/>
            <w:tcBorders>
              <w:top w:val="single" w:sz="6" w:space="0" w:color="000000"/>
              <w:left w:val="none" w:sz="0" w:space="0" w:color="000000"/>
              <w:bottom w:val="single" w:sz="6" w:space="0" w:color="000000"/>
              <w:right w:val="none" w:sz="0" w:space="0" w:color="000000"/>
            </w:tcBorders>
            <w:shd w:val="clear" w:color="auto" w:fill="FFFFFF"/>
            <w:tcMar>
              <w:top w:w="0" w:type="dxa"/>
              <w:left w:w="0" w:type="dxa"/>
              <w:bottom w:w="0" w:type="dxa"/>
              <w:right w:w="0" w:type="dxa"/>
            </w:tcMar>
            <w:vAlign w:val="center"/>
          </w:tcPr>
          <w:p w14:paraId="60BBD93E" w14:textId="77777777" w:rsidR="00AD4A06" w:rsidRDefault="00634CB6">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Mean</w:t>
            </w:r>
          </w:p>
        </w:tc>
        <w:tc>
          <w:tcPr>
            <w:tcW w:w="1080" w:type="dxa"/>
            <w:tcBorders>
              <w:top w:val="single" w:sz="6" w:space="0" w:color="000000"/>
              <w:left w:val="none" w:sz="0" w:space="0" w:color="000000"/>
              <w:bottom w:val="single" w:sz="6" w:space="0" w:color="000000"/>
              <w:right w:val="none" w:sz="0" w:space="0" w:color="000000"/>
            </w:tcBorders>
            <w:shd w:val="clear" w:color="auto" w:fill="FFFFFF"/>
            <w:tcMar>
              <w:top w:w="0" w:type="dxa"/>
              <w:left w:w="0" w:type="dxa"/>
              <w:bottom w:w="0" w:type="dxa"/>
              <w:right w:w="0" w:type="dxa"/>
            </w:tcMar>
            <w:vAlign w:val="center"/>
          </w:tcPr>
          <w:p w14:paraId="0BC69756" w14:textId="77777777" w:rsidR="00AD4A06" w:rsidRDefault="00634CB6">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SD</w:t>
            </w:r>
          </w:p>
        </w:tc>
        <w:tc>
          <w:tcPr>
            <w:tcW w:w="1080" w:type="dxa"/>
            <w:tcBorders>
              <w:top w:val="single" w:sz="6" w:space="0" w:color="000000"/>
              <w:left w:val="none" w:sz="0" w:space="0" w:color="000000"/>
              <w:bottom w:val="single" w:sz="6" w:space="0" w:color="000000"/>
              <w:right w:val="none" w:sz="0" w:space="0" w:color="000000"/>
            </w:tcBorders>
            <w:shd w:val="clear" w:color="auto" w:fill="FFFFFF"/>
            <w:tcMar>
              <w:top w:w="0" w:type="dxa"/>
              <w:left w:w="0" w:type="dxa"/>
              <w:bottom w:w="0" w:type="dxa"/>
              <w:right w:w="0" w:type="dxa"/>
            </w:tcMar>
            <w:vAlign w:val="center"/>
          </w:tcPr>
          <w:p w14:paraId="0D856D0B" w14:textId="77777777" w:rsidR="00AD4A06" w:rsidRDefault="00634CB6">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Minimum</w:t>
            </w:r>
          </w:p>
        </w:tc>
        <w:tc>
          <w:tcPr>
            <w:tcW w:w="1080" w:type="dxa"/>
            <w:tcBorders>
              <w:top w:val="single" w:sz="6" w:space="0" w:color="000000"/>
              <w:left w:val="none" w:sz="0" w:space="0" w:color="000000"/>
              <w:bottom w:val="single" w:sz="6" w:space="0" w:color="000000"/>
              <w:right w:val="none" w:sz="0" w:space="0" w:color="000000"/>
            </w:tcBorders>
            <w:shd w:val="clear" w:color="auto" w:fill="FFFFFF"/>
            <w:tcMar>
              <w:top w:w="0" w:type="dxa"/>
              <w:left w:w="0" w:type="dxa"/>
              <w:bottom w:w="0" w:type="dxa"/>
              <w:right w:w="0" w:type="dxa"/>
            </w:tcMar>
            <w:vAlign w:val="center"/>
          </w:tcPr>
          <w:p w14:paraId="3D4D2257" w14:textId="77777777" w:rsidR="00AD4A06" w:rsidRDefault="00634CB6">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Maximum</w:t>
            </w:r>
          </w:p>
        </w:tc>
        <w:tc>
          <w:tcPr>
            <w:tcW w:w="1080" w:type="dxa"/>
            <w:tcBorders>
              <w:top w:val="single" w:sz="6" w:space="0" w:color="000000"/>
              <w:left w:val="none" w:sz="0" w:space="0" w:color="000000"/>
              <w:bottom w:val="single" w:sz="6" w:space="0" w:color="000000"/>
              <w:right w:val="none" w:sz="0" w:space="0" w:color="000000"/>
            </w:tcBorders>
            <w:shd w:val="clear" w:color="auto" w:fill="FFFFFF"/>
            <w:tcMar>
              <w:top w:w="0" w:type="dxa"/>
              <w:left w:w="0" w:type="dxa"/>
              <w:bottom w:w="0" w:type="dxa"/>
              <w:right w:w="0" w:type="dxa"/>
            </w:tcMar>
            <w:vAlign w:val="center"/>
          </w:tcPr>
          <w:p w14:paraId="340577B6" w14:textId="77777777" w:rsidR="00AD4A06" w:rsidRDefault="00634CB6">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Range</w:t>
            </w:r>
          </w:p>
        </w:tc>
        <w:tc>
          <w:tcPr>
            <w:tcW w:w="1080" w:type="dxa"/>
            <w:tcBorders>
              <w:top w:val="single" w:sz="6" w:space="0" w:color="000000"/>
              <w:left w:val="none" w:sz="0" w:space="0" w:color="000000"/>
              <w:bottom w:val="single" w:sz="6" w:space="0" w:color="000000"/>
              <w:right w:val="none" w:sz="0" w:space="0" w:color="000000"/>
            </w:tcBorders>
            <w:shd w:val="clear" w:color="auto" w:fill="FFFFFF"/>
            <w:tcMar>
              <w:top w:w="0" w:type="dxa"/>
              <w:left w:w="0" w:type="dxa"/>
              <w:bottom w:w="0" w:type="dxa"/>
              <w:right w:w="0" w:type="dxa"/>
            </w:tcMar>
            <w:vAlign w:val="center"/>
          </w:tcPr>
          <w:p w14:paraId="3FB8B379" w14:textId="77777777" w:rsidR="00AD4A06" w:rsidRDefault="00634CB6">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n</w:t>
            </w:r>
          </w:p>
        </w:tc>
      </w:tr>
      <w:tr w:rsidR="00AD4A06" w14:paraId="1836C847" w14:textId="77777777">
        <w:tc>
          <w:tcPr>
            <w:tcW w:w="1080" w:type="dxa"/>
            <w:tcBorders>
              <w:top w:val="single" w:sz="6"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B5F073" w14:textId="77777777" w:rsidR="00AD4A06" w:rsidRDefault="00634CB6">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Q1</w:t>
            </w:r>
          </w:p>
        </w:tc>
        <w:tc>
          <w:tcPr>
            <w:tcW w:w="1080" w:type="dxa"/>
            <w:tcBorders>
              <w:top w:val="single" w:sz="6"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018CE0" w14:textId="77777777" w:rsidR="00AD4A06" w:rsidRDefault="00634CB6">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3.38</w:t>
            </w:r>
          </w:p>
        </w:tc>
        <w:tc>
          <w:tcPr>
            <w:tcW w:w="1080" w:type="dxa"/>
            <w:tcBorders>
              <w:top w:val="single" w:sz="6"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9CE6FF" w14:textId="77777777" w:rsidR="00AD4A06" w:rsidRDefault="00634CB6">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2.19</w:t>
            </w:r>
          </w:p>
        </w:tc>
        <w:tc>
          <w:tcPr>
            <w:tcW w:w="1080" w:type="dxa"/>
            <w:tcBorders>
              <w:top w:val="single" w:sz="6"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9841BE" w14:textId="77777777" w:rsidR="00AD4A06" w:rsidRDefault="00634CB6">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1</w:t>
            </w:r>
          </w:p>
        </w:tc>
        <w:tc>
          <w:tcPr>
            <w:tcW w:w="1080" w:type="dxa"/>
            <w:tcBorders>
              <w:top w:val="single" w:sz="6"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2B7304" w14:textId="77777777" w:rsidR="00AD4A06" w:rsidRDefault="00634CB6">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9</w:t>
            </w:r>
          </w:p>
        </w:tc>
        <w:tc>
          <w:tcPr>
            <w:tcW w:w="1080" w:type="dxa"/>
            <w:tcBorders>
              <w:top w:val="single" w:sz="6"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B0A208" w14:textId="77777777" w:rsidR="00AD4A06" w:rsidRDefault="00634CB6">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8</w:t>
            </w:r>
          </w:p>
        </w:tc>
        <w:tc>
          <w:tcPr>
            <w:tcW w:w="1080" w:type="dxa"/>
            <w:tcBorders>
              <w:top w:val="single" w:sz="6"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D7DF45" w14:textId="77777777" w:rsidR="00AD4A06" w:rsidRDefault="00634CB6">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9,680</w:t>
            </w:r>
          </w:p>
        </w:tc>
      </w:tr>
      <w:tr w:rsidR="00AD4A06" w14:paraId="196A0300" w14:textId="77777777">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8B0D65" w14:textId="77777777" w:rsidR="00AD4A06" w:rsidRDefault="00634CB6">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Q2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C4774C" w14:textId="77777777" w:rsidR="00AD4A06" w:rsidRDefault="00634CB6">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2.10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A49CCB" w14:textId="77777777" w:rsidR="00AD4A06" w:rsidRDefault="00634CB6">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2.08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B20A0C" w14:textId="77777777" w:rsidR="00AD4A06" w:rsidRDefault="00634CB6">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9009E4" w14:textId="77777777" w:rsidR="00AD4A06" w:rsidRDefault="00634CB6">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853697" w14:textId="77777777" w:rsidR="00AD4A06" w:rsidRDefault="00634CB6">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66D8AA" w14:textId="77777777" w:rsidR="00AD4A06" w:rsidRDefault="00634CB6">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9,680</w:t>
            </w:r>
          </w:p>
        </w:tc>
      </w:tr>
      <w:tr w:rsidR="00AD4A06" w14:paraId="2DB9466C" w14:textId="77777777">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56CC74" w14:textId="77777777" w:rsidR="00AD4A06" w:rsidRDefault="00634CB6">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Q3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5E6B2B" w14:textId="77777777" w:rsidR="00AD4A06" w:rsidRDefault="00634CB6">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2.73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4508E1" w14:textId="77777777" w:rsidR="00AD4A06" w:rsidRDefault="00634CB6">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2.54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9FAAB8" w14:textId="77777777" w:rsidR="00AD4A06" w:rsidRDefault="00634CB6">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124560" w14:textId="77777777" w:rsidR="00AD4A06" w:rsidRDefault="00634CB6">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832D11" w14:textId="77777777" w:rsidR="00AD4A06" w:rsidRDefault="00634CB6">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E1419E" w14:textId="77777777" w:rsidR="00AD4A06" w:rsidRDefault="00634CB6">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9,680</w:t>
            </w:r>
          </w:p>
        </w:tc>
      </w:tr>
      <w:tr w:rsidR="00AD4A06" w14:paraId="2ED6D8EF" w14:textId="77777777">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434170" w14:textId="77777777" w:rsidR="00AD4A06" w:rsidRDefault="00634CB6">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Q4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873465" w14:textId="77777777" w:rsidR="00AD4A06" w:rsidRDefault="00634CB6">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7.57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BB5F86" w14:textId="77777777" w:rsidR="00AD4A06" w:rsidRDefault="00634CB6">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2.38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F14E3C" w14:textId="77777777" w:rsidR="00AD4A06" w:rsidRDefault="00634CB6">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BD2DED" w14:textId="77777777" w:rsidR="00AD4A06" w:rsidRDefault="00634CB6">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E4F91D" w14:textId="77777777" w:rsidR="00AD4A06" w:rsidRDefault="00634CB6">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2DF327" w14:textId="77777777" w:rsidR="00AD4A06" w:rsidRDefault="00634CB6">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9,680</w:t>
            </w:r>
          </w:p>
        </w:tc>
      </w:tr>
      <w:tr w:rsidR="00AD4A06" w14:paraId="440C7506" w14:textId="77777777">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429E0C" w14:textId="77777777" w:rsidR="00AD4A06" w:rsidRDefault="00634CB6">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Q5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080886" w14:textId="77777777" w:rsidR="00AD4A06" w:rsidRDefault="00634CB6">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2.96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6BCD46" w14:textId="77777777" w:rsidR="00AD4A06" w:rsidRDefault="00634CB6">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2.12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5D2414" w14:textId="77777777" w:rsidR="00AD4A06" w:rsidRDefault="00634CB6">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DC4293" w14:textId="77777777" w:rsidR="00AD4A06" w:rsidRDefault="00634CB6">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D1341F" w14:textId="77777777" w:rsidR="00AD4A06" w:rsidRDefault="00634CB6">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D83419" w14:textId="77777777" w:rsidR="00AD4A06" w:rsidRDefault="00634CB6">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9,680</w:t>
            </w:r>
          </w:p>
        </w:tc>
      </w:tr>
      <w:tr w:rsidR="00AD4A06" w14:paraId="5F5FF762" w14:textId="77777777">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A0C480" w14:textId="77777777" w:rsidR="00AD4A06" w:rsidRDefault="00634CB6">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Q6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F82D9F" w14:textId="77777777" w:rsidR="00AD4A06" w:rsidRDefault="00634CB6">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7.46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D74109" w14:textId="77777777" w:rsidR="00AD4A06" w:rsidRDefault="00634CB6">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2.28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32D521" w14:textId="77777777" w:rsidR="00AD4A06" w:rsidRDefault="00634CB6">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91D46B" w14:textId="77777777" w:rsidR="00AD4A06" w:rsidRDefault="00634CB6">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CB5F43" w14:textId="77777777" w:rsidR="00AD4A06" w:rsidRDefault="00634CB6">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73B6DB" w14:textId="77777777" w:rsidR="00AD4A06" w:rsidRDefault="00634CB6">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9,680</w:t>
            </w:r>
          </w:p>
        </w:tc>
      </w:tr>
      <w:tr w:rsidR="00AD4A06" w14:paraId="2F343A2D" w14:textId="77777777">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832017" w14:textId="77777777" w:rsidR="00AD4A06" w:rsidRDefault="00634CB6">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Q7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F298EE" w14:textId="77777777" w:rsidR="00AD4A06" w:rsidRDefault="00634CB6">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2.87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6DD8D6" w14:textId="77777777" w:rsidR="00AD4A06" w:rsidRDefault="00634CB6">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2.54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50080F" w14:textId="77777777" w:rsidR="00AD4A06" w:rsidRDefault="00634CB6">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1237B2" w14:textId="77777777" w:rsidR="00AD4A06" w:rsidRDefault="00634CB6">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865782" w14:textId="77777777" w:rsidR="00AD4A06" w:rsidRDefault="00634CB6">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0743A6" w14:textId="77777777" w:rsidR="00AD4A06" w:rsidRDefault="00634CB6">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9,680</w:t>
            </w:r>
          </w:p>
        </w:tc>
      </w:tr>
      <w:tr w:rsidR="00AD4A06" w14:paraId="6FC7516A" w14:textId="77777777">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9C68D0" w14:textId="77777777" w:rsidR="00AD4A06" w:rsidRDefault="00634CB6">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Q8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D8C524" w14:textId="77777777" w:rsidR="00AD4A06" w:rsidRDefault="00634CB6">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6.69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99F4E9" w14:textId="77777777" w:rsidR="00AD4A06" w:rsidRDefault="00634CB6">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2.41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0B3AD0" w14:textId="77777777" w:rsidR="00AD4A06" w:rsidRDefault="00634CB6">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B22C15" w14:textId="77777777" w:rsidR="00AD4A06" w:rsidRDefault="00634CB6">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BBEA4A" w14:textId="77777777" w:rsidR="00AD4A06" w:rsidRDefault="00634CB6">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357183" w14:textId="77777777" w:rsidR="00AD4A06" w:rsidRDefault="00634CB6">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9,680</w:t>
            </w:r>
          </w:p>
        </w:tc>
      </w:tr>
      <w:tr w:rsidR="00AD4A06" w14:paraId="5151A8BD" w14:textId="77777777">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ECE049" w14:textId="77777777" w:rsidR="00AD4A06" w:rsidRDefault="00634CB6">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Q9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294809" w14:textId="77777777" w:rsidR="00AD4A06" w:rsidRDefault="00634CB6">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7.53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3A5A11" w14:textId="77777777" w:rsidR="00AD4A06" w:rsidRDefault="00634CB6">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1.99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965A47" w14:textId="77777777" w:rsidR="00AD4A06" w:rsidRDefault="00634CB6">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ADD19A" w14:textId="77777777" w:rsidR="00AD4A06" w:rsidRDefault="00634CB6">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6C8592" w14:textId="77777777" w:rsidR="00AD4A06" w:rsidRDefault="00634CB6">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1A0C6E" w14:textId="77777777" w:rsidR="00AD4A06" w:rsidRDefault="00634CB6">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9,680</w:t>
            </w:r>
          </w:p>
        </w:tc>
      </w:tr>
      <w:tr w:rsidR="00AD4A06" w14:paraId="70E0CF96" w14:textId="77777777">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5BFAC3" w14:textId="77777777" w:rsidR="00AD4A06" w:rsidRDefault="00634CB6">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Q10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1C3092" w14:textId="77777777" w:rsidR="00AD4A06" w:rsidRDefault="00634CB6">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3.20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BCFD05" w14:textId="77777777" w:rsidR="00AD4A06" w:rsidRDefault="00634CB6">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2.63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1F3AB7" w14:textId="77777777" w:rsidR="00AD4A06" w:rsidRDefault="00634CB6">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6EB12A" w14:textId="77777777" w:rsidR="00AD4A06" w:rsidRDefault="00634CB6">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9003C7" w14:textId="77777777" w:rsidR="00AD4A06" w:rsidRDefault="00634CB6">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1B28F1" w14:textId="77777777" w:rsidR="00AD4A06" w:rsidRDefault="00634CB6">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9,680</w:t>
            </w:r>
          </w:p>
        </w:tc>
      </w:tr>
      <w:tr w:rsidR="00AD4A06" w14:paraId="2B112AFB" w14:textId="77777777">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369C9E" w14:textId="77777777" w:rsidR="00AD4A06" w:rsidRDefault="00634CB6">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Q11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5B6C8E" w14:textId="77777777" w:rsidR="00AD4A06" w:rsidRDefault="00634CB6">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7.67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8F43EC" w14:textId="77777777" w:rsidR="00AD4A06" w:rsidRDefault="00634CB6">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2.03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507054" w14:textId="77777777" w:rsidR="00AD4A06" w:rsidRDefault="00634CB6">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5567A1" w14:textId="77777777" w:rsidR="00AD4A06" w:rsidRDefault="00634CB6">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B325E0" w14:textId="77777777" w:rsidR="00AD4A06" w:rsidRDefault="00634CB6">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77173A" w14:textId="77777777" w:rsidR="00AD4A06" w:rsidRDefault="00634CB6">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9,680</w:t>
            </w:r>
          </w:p>
        </w:tc>
      </w:tr>
      <w:tr w:rsidR="00AD4A06" w14:paraId="64DD1E25" w14:textId="77777777">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44FE97" w14:textId="77777777" w:rsidR="00AD4A06" w:rsidRDefault="00634CB6">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Q12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0E0900" w14:textId="77777777" w:rsidR="00AD4A06" w:rsidRDefault="00634CB6">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3.61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BEC8F2" w14:textId="77777777" w:rsidR="00AD4A06" w:rsidRDefault="00634CB6">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2.46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95336A" w14:textId="77777777" w:rsidR="00AD4A06" w:rsidRDefault="00634CB6">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ECA2C2" w14:textId="77777777" w:rsidR="00AD4A06" w:rsidRDefault="00634CB6">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073777" w14:textId="77777777" w:rsidR="00AD4A06" w:rsidRDefault="00634CB6">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802B72" w14:textId="77777777" w:rsidR="00AD4A06" w:rsidRDefault="00634CB6">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9,680</w:t>
            </w:r>
          </w:p>
        </w:tc>
      </w:tr>
      <w:tr w:rsidR="00AD4A06" w14:paraId="717A57E5" w14:textId="77777777">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7711DF" w14:textId="77777777" w:rsidR="00AD4A06" w:rsidRDefault="00634CB6">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Q13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CC438B" w14:textId="77777777" w:rsidR="00AD4A06" w:rsidRDefault="00634CB6">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7.05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C317E9" w14:textId="77777777" w:rsidR="00AD4A06" w:rsidRDefault="00634CB6">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2.47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CBABF6" w14:textId="77777777" w:rsidR="00AD4A06" w:rsidRDefault="00634CB6">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FA1D93" w14:textId="77777777" w:rsidR="00AD4A06" w:rsidRDefault="00634CB6">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643505" w14:textId="77777777" w:rsidR="00AD4A06" w:rsidRDefault="00634CB6">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375D8E" w14:textId="77777777" w:rsidR="00AD4A06" w:rsidRDefault="00634CB6">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9,680</w:t>
            </w:r>
          </w:p>
        </w:tc>
      </w:tr>
      <w:tr w:rsidR="00AD4A06" w14:paraId="21F68BC3" w14:textId="77777777">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3DC719" w14:textId="77777777" w:rsidR="00AD4A06" w:rsidRDefault="00634CB6">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Q14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5C740B" w14:textId="77777777" w:rsidR="00AD4A06" w:rsidRDefault="00634CB6">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3.55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6EA352" w14:textId="77777777" w:rsidR="00AD4A06" w:rsidRDefault="00634CB6">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2.74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A80843" w14:textId="77777777" w:rsidR="00AD4A06" w:rsidRDefault="00634CB6">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EEACB5" w14:textId="77777777" w:rsidR="00AD4A06" w:rsidRDefault="00634CB6">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039489" w14:textId="77777777" w:rsidR="00AD4A06" w:rsidRDefault="00634CB6">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087E75" w14:textId="77777777" w:rsidR="00AD4A06" w:rsidRDefault="00634CB6">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9,680</w:t>
            </w:r>
          </w:p>
        </w:tc>
      </w:tr>
      <w:tr w:rsidR="00AD4A06" w14:paraId="2F16B954" w14:textId="77777777">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626059" w14:textId="77777777" w:rsidR="00AD4A06" w:rsidRDefault="00634CB6">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Q15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58DDCA" w14:textId="77777777" w:rsidR="00AD4A06" w:rsidRDefault="00634CB6">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6.85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2F0D18" w14:textId="77777777" w:rsidR="00AD4A06" w:rsidRDefault="00634CB6">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2.31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A66D29" w14:textId="77777777" w:rsidR="00AD4A06" w:rsidRDefault="00634CB6">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027E3C" w14:textId="77777777" w:rsidR="00AD4A06" w:rsidRDefault="00634CB6">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8F71D4" w14:textId="77777777" w:rsidR="00AD4A06" w:rsidRDefault="00634CB6">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373AC2" w14:textId="77777777" w:rsidR="00AD4A06" w:rsidRDefault="00634CB6">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9,680</w:t>
            </w:r>
          </w:p>
        </w:tc>
      </w:tr>
      <w:tr w:rsidR="00AD4A06" w14:paraId="675532AC" w14:textId="77777777">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40292E" w14:textId="77777777" w:rsidR="00AD4A06" w:rsidRDefault="00634CB6">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Q16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A4403D" w14:textId="77777777" w:rsidR="00AD4A06" w:rsidRDefault="00634CB6">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2.14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C5694B" w14:textId="77777777" w:rsidR="00AD4A06" w:rsidRDefault="00634CB6">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2.09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74E532" w14:textId="77777777" w:rsidR="00AD4A06" w:rsidRDefault="00634CB6">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E47318" w14:textId="77777777" w:rsidR="00AD4A06" w:rsidRDefault="00634CB6">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5DD22F" w14:textId="77777777" w:rsidR="00AD4A06" w:rsidRDefault="00634CB6">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722A7A" w14:textId="77777777" w:rsidR="00AD4A06" w:rsidRDefault="00634CB6">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9,680</w:t>
            </w:r>
          </w:p>
        </w:tc>
      </w:tr>
      <w:tr w:rsidR="00AD4A06" w14:paraId="205D822D" w14:textId="77777777">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6C530F" w14:textId="77777777" w:rsidR="00AD4A06" w:rsidRDefault="00634CB6">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Q17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28EDED" w14:textId="77777777" w:rsidR="00AD4A06" w:rsidRDefault="00634CB6">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3.00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410A2D" w14:textId="77777777" w:rsidR="00AD4A06" w:rsidRDefault="00634CB6">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2.55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E14F55" w14:textId="77777777" w:rsidR="00AD4A06" w:rsidRDefault="00634CB6">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3D91F1" w14:textId="77777777" w:rsidR="00AD4A06" w:rsidRDefault="00634CB6">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1DA0CF" w14:textId="77777777" w:rsidR="00AD4A06" w:rsidRDefault="00634CB6">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4E2088" w14:textId="77777777" w:rsidR="00AD4A06" w:rsidRDefault="00634CB6">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9,680</w:t>
            </w:r>
          </w:p>
        </w:tc>
      </w:tr>
      <w:tr w:rsidR="00AD4A06" w14:paraId="1D683B4B" w14:textId="77777777">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EE5843" w14:textId="77777777" w:rsidR="00AD4A06" w:rsidRDefault="00634CB6">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Q18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B342AA" w14:textId="77777777" w:rsidR="00AD4A06" w:rsidRDefault="00634CB6">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7.87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A91753" w14:textId="77777777" w:rsidR="00AD4A06" w:rsidRDefault="00634CB6">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2.09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470A0D" w14:textId="77777777" w:rsidR="00AD4A06" w:rsidRDefault="00634CB6">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3C7247" w14:textId="77777777" w:rsidR="00AD4A06" w:rsidRDefault="00634CB6">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85EBCF" w14:textId="77777777" w:rsidR="00AD4A06" w:rsidRDefault="00634CB6">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05B8B9" w14:textId="77777777" w:rsidR="00AD4A06" w:rsidRDefault="00634CB6">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9,680</w:t>
            </w:r>
          </w:p>
        </w:tc>
      </w:tr>
      <w:tr w:rsidR="00AD4A06" w14:paraId="3DC320EA" w14:textId="77777777">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6E612D" w14:textId="77777777" w:rsidR="00AD4A06" w:rsidRDefault="00634CB6">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Q19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2F1646" w14:textId="77777777" w:rsidR="00AD4A06" w:rsidRDefault="00634CB6">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2.80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F34FB0" w14:textId="77777777" w:rsidR="00AD4A06" w:rsidRDefault="00634CB6">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2.31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8E35E1" w14:textId="77777777" w:rsidR="00AD4A06" w:rsidRDefault="00634CB6">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FC6678" w14:textId="77777777" w:rsidR="00AD4A06" w:rsidRDefault="00634CB6">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C547FD" w14:textId="77777777" w:rsidR="00AD4A06" w:rsidRDefault="00634CB6">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FBE638" w14:textId="77777777" w:rsidR="00AD4A06" w:rsidRDefault="00634CB6">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9,680</w:t>
            </w:r>
          </w:p>
        </w:tc>
      </w:tr>
      <w:tr w:rsidR="00AD4A06" w14:paraId="118CD00E" w14:textId="77777777">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139D27" w14:textId="77777777" w:rsidR="00AD4A06" w:rsidRDefault="00634CB6">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Q20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3ED685" w14:textId="77777777" w:rsidR="00AD4A06" w:rsidRDefault="00634CB6">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7.56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9C998F" w14:textId="77777777" w:rsidR="00AD4A06" w:rsidRDefault="00634CB6">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2.04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F4B1BB" w14:textId="77777777" w:rsidR="00AD4A06" w:rsidRDefault="00634CB6">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38C711" w14:textId="77777777" w:rsidR="00AD4A06" w:rsidRDefault="00634CB6">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79AD8F" w14:textId="77777777" w:rsidR="00AD4A06" w:rsidRDefault="00634CB6">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56B7CA" w14:textId="77777777" w:rsidR="00AD4A06" w:rsidRDefault="00634CB6">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9,680</w:t>
            </w:r>
          </w:p>
        </w:tc>
      </w:tr>
      <w:tr w:rsidR="00AD4A06" w14:paraId="69D16768" w14:textId="77777777">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9291DD" w14:textId="77777777" w:rsidR="00AD4A06" w:rsidRDefault="00634CB6">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Q21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48DC70" w14:textId="77777777" w:rsidR="00AD4A06" w:rsidRDefault="00634CB6">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6.28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AEFC93" w14:textId="77777777" w:rsidR="00AD4A06" w:rsidRDefault="00634CB6">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2.67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3A60A7" w14:textId="77777777" w:rsidR="00AD4A06" w:rsidRDefault="00634CB6">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236440" w14:textId="77777777" w:rsidR="00AD4A06" w:rsidRDefault="00634CB6">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1715AA" w14:textId="77777777" w:rsidR="00AD4A06" w:rsidRDefault="00634CB6">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0AE39E" w14:textId="77777777" w:rsidR="00AD4A06" w:rsidRDefault="00634CB6">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9,680</w:t>
            </w:r>
          </w:p>
        </w:tc>
      </w:tr>
      <w:tr w:rsidR="00AD4A06" w14:paraId="12FA0CDD" w14:textId="77777777">
        <w:tc>
          <w:tcPr>
            <w:tcW w:w="1080" w:type="dxa"/>
            <w:tcBorders>
              <w:top w:val="none" w:sz="0" w:space="0" w:color="000000"/>
              <w:left w:val="none" w:sz="0" w:space="0" w:color="000000"/>
              <w:bottom w:val="single" w:sz="6" w:space="0" w:color="000000"/>
              <w:right w:val="none" w:sz="0" w:space="0" w:color="000000"/>
            </w:tcBorders>
            <w:shd w:val="clear" w:color="auto" w:fill="FFFFFF"/>
            <w:tcMar>
              <w:top w:w="0" w:type="dxa"/>
              <w:left w:w="0" w:type="dxa"/>
              <w:bottom w:w="0" w:type="dxa"/>
              <w:right w:w="0" w:type="dxa"/>
            </w:tcMar>
            <w:vAlign w:val="center"/>
          </w:tcPr>
          <w:p w14:paraId="339CA4A5" w14:textId="77777777" w:rsidR="00AD4A06" w:rsidRDefault="00634CB6">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Q22</w:t>
            </w:r>
          </w:p>
        </w:tc>
        <w:tc>
          <w:tcPr>
            <w:tcW w:w="1080" w:type="dxa"/>
            <w:tcBorders>
              <w:top w:val="none" w:sz="0" w:space="0" w:color="000000"/>
              <w:left w:val="none" w:sz="0" w:space="0" w:color="000000"/>
              <w:bottom w:val="single" w:sz="6" w:space="0" w:color="000000"/>
              <w:right w:val="none" w:sz="0" w:space="0" w:color="000000"/>
            </w:tcBorders>
            <w:shd w:val="clear" w:color="auto" w:fill="FFFFFF"/>
            <w:tcMar>
              <w:top w:w="0" w:type="dxa"/>
              <w:left w:w="0" w:type="dxa"/>
              <w:bottom w:w="0" w:type="dxa"/>
              <w:right w:w="0" w:type="dxa"/>
            </w:tcMar>
            <w:vAlign w:val="center"/>
          </w:tcPr>
          <w:p w14:paraId="1EE322C9" w14:textId="77777777" w:rsidR="00AD4A06" w:rsidRDefault="00634CB6">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2.90</w:t>
            </w:r>
          </w:p>
        </w:tc>
        <w:tc>
          <w:tcPr>
            <w:tcW w:w="1080" w:type="dxa"/>
            <w:tcBorders>
              <w:top w:val="none" w:sz="0" w:space="0" w:color="000000"/>
              <w:left w:val="none" w:sz="0" w:space="0" w:color="000000"/>
              <w:bottom w:val="single" w:sz="6" w:space="0" w:color="000000"/>
              <w:right w:val="none" w:sz="0" w:space="0" w:color="000000"/>
            </w:tcBorders>
            <w:shd w:val="clear" w:color="auto" w:fill="FFFFFF"/>
            <w:tcMar>
              <w:top w:w="0" w:type="dxa"/>
              <w:left w:w="0" w:type="dxa"/>
              <w:bottom w:w="0" w:type="dxa"/>
              <w:right w:w="0" w:type="dxa"/>
            </w:tcMar>
            <w:vAlign w:val="center"/>
          </w:tcPr>
          <w:p w14:paraId="15EA425D" w14:textId="77777777" w:rsidR="00AD4A06" w:rsidRDefault="00634CB6">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2.50</w:t>
            </w:r>
          </w:p>
        </w:tc>
        <w:tc>
          <w:tcPr>
            <w:tcW w:w="1080" w:type="dxa"/>
            <w:tcBorders>
              <w:top w:val="none" w:sz="0" w:space="0" w:color="000000"/>
              <w:left w:val="none" w:sz="0" w:space="0" w:color="000000"/>
              <w:bottom w:val="single" w:sz="6" w:space="0" w:color="000000"/>
              <w:right w:val="none" w:sz="0" w:space="0" w:color="000000"/>
            </w:tcBorders>
            <w:shd w:val="clear" w:color="auto" w:fill="FFFFFF"/>
            <w:tcMar>
              <w:top w:w="0" w:type="dxa"/>
              <w:left w:w="0" w:type="dxa"/>
              <w:bottom w:w="0" w:type="dxa"/>
              <w:right w:w="0" w:type="dxa"/>
            </w:tcMar>
            <w:vAlign w:val="center"/>
          </w:tcPr>
          <w:p w14:paraId="5290AB12" w14:textId="77777777" w:rsidR="00AD4A06" w:rsidRDefault="00634CB6">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1</w:t>
            </w:r>
          </w:p>
        </w:tc>
        <w:tc>
          <w:tcPr>
            <w:tcW w:w="1080" w:type="dxa"/>
            <w:tcBorders>
              <w:top w:val="none" w:sz="0" w:space="0" w:color="000000"/>
              <w:left w:val="none" w:sz="0" w:space="0" w:color="000000"/>
              <w:bottom w:val="single" w:sz="6" w:space="0" w:color="000000"/>
              <w:right w:val="none" w:sz="0" w:space="0" w:color="000000"/>
            </w:tcBorders>
            <w:shd w:val="clear" w:color="auto" w:fill="FFFFFF"/>
            <w:tcMar>
              <w:top w:w="0" w:type="dxa"/>
              <w:left w:w="0" w:type="dxa"/>
              <w:bottom w:w="0" w:type="dxa"/>
              <w:right w:w="0" w:type="dxa"/>
            </w:tcMar>
            <w:vAlign w:val="center"/>
          </w:tcPr>
          <w:p w14:paraId="007BD115" w14:textId="77777777" w:rsidR="00AD4A06" w:rsidRDefault="00634CB6">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9</w:t>
            </w:r>
          </w:p>
        </w:tc>
        <w:tc>
          <w:tcPr>
            <w:tcW w:w="1080" w:type="dxa"/>
            <w:tcBorders>
              <w:top w:val="none" w:sz="0" w:space="0" w:color="000000"/>
              <w:left w:val="none" w:sz="0" w:space="0" w:color="000000"/>
              <w:bottom w:val="single" w:sz="6" w:space="0" w:color="000000"/>
              <w:right w:val="none" w:sz="0" w:space="0" w:color="000000"/>
            </w:tcBorders>
            <w:shd w:val="clear" w:color="auto" w:fill="FFFFFF"/>
            <w:tcMar>
              <w:top w:w="0" w:type="dxa"/>
              <w:left w:w="0" w:type="dxa"/>
              <w:bottom w:w="0" w:type="dxa"/>
              <w:right w:w="0" w:type="dxa"/>
            </w:tcMar>
            <w:vAlign w:val="center"/>
          </w:tcPr>
          <w:p w14:paraId="26C32AC6" w14:textId="77777777" w:rsidR="00AD4A06" w:rsidRDefault="00634CB6">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8</w:t>
            </w:r>
          </w:p>
        </w:tc>
        <w:tc>
          <w:tcPr>
            <w:tcW w:w="1080" w:type="dxa"/>
            <w:tcBorders>
              <w:top w:val="none" w:sz="0" w:space="0" w:color="000000"/>
              <w:left w:val="none" w:sz="0" w:space="0" w:color="000000"/>
              <w:bottom w:val="single" w:sz="6" w:space="0" w:color="000000"/>
              <w:right w:val="none" w:sz="0" w:space="0" w:color="000000"/>
            </w:tcBorders>
            <w:shd w:val="clear" w:color="auto" w:fill="FFFFFF"/>
            <w:tcMar>
              <w:top w:w="0" w:type="dxa"/>
              <w:left w:w="0" w:type="dxa"/>
              <w:bottom w:w="0" w:type="dxa"/>
              <w:right w:w="0" w:type="dxa"/>
            </w:tcMar>
            <w:vAlign w:val="center"/>
          </w:tcPr>
          <w:p w14:paraId="597F97DD" w14:textId="77777777" w:rsidR="00AD4A06" w:rsidRDefault="00634CB6">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9,680</w:t>
            </w:r>
          </w:p>
        </w:tc>
      </w:tr>
    </w:tbl>
    <w:p w14:paraId="73A38C1D" w14:textId="77777777" w:rsidR="00AD4A06" w:rsidRDefault="00634CB6">
      <w:pPr>
        <w:pStyle w:val="Heading2"/>
      </w:pPr>
      <w:bookmarkStart w:id="10" w:name="step-3-examining-dimensionality"/>
      <w:bookmarkEnd w:id="8"/>
      <w:r>
        <w:lastRenderedPageBreak/>
        <w:t>Step 3: Examining Dimensionality</w:t>
      </w:r>
    </w:p>
    <w:p w14:paraId="6C9A7932" w14:textId="77777777" w:rsidR="00AD4A06" w:rsidRDefault="00634CB6">
      <w:pPr>
        <w:pStyle w:val="FirstParagraph"/>
      </w:pPr>
      <w:r>
        <w:t xml:space="preserve">Next, we show the readers the ways of testing unidimensionality. To test the number of latent factors of an item pool, there are three alternatives, which are multidimensional scaling (MDS), EFA, and CFA. In this tutorial, we demonstrate the use of EFA, and </w:t>
      </w:r>
      <w:r>
        <w:rPr>
          <w:i/>
          <w:iCs/>
        </w:rPr>
        <w:t>psych</w:t>
      </w:r>
      <w:r>
        <w:t xml:space="preserve"> package provides a very efficient way to do this by calling this command:</w:t>
      </w:r>
    </w:p>
    <w:p w14:paraId="02B9A109" w14:textId="77777777" w:rsidR="00AD4A06" w:rsidRDefault="00634CB6">
      <w:pPr>
        <w:pStyle w:val="SourceCode"/>
      </w:pPr>
      <w:r>
        <w:rPr>
          <w:rStyle w:val="FunctionTok"/>
        </w:rPr>
        <w:t>irt.fa</w:t>
      </w:r>
      <w:r>
        <w:rPr>
          <w:rStyle w:val="NormalTok"/>
        </w:rPr>
        <w:t xml:space="preserve">(rwa, </w:t>
      </w:r>
      <w:r>
        <w:rPr>
          <w:rStyle w:val="AttributeTok"/>
        </w:rPr>
        <w:t>nfactors =</w:t>
      </w:r>
      <w:r>
        <w:rPr>
          <w:rStyle w:val="NormalTok"/>
        </w:rPr>
        <w:t xml:space="preserve"> </w:t>
      </w:r>
      <w:r>
        <w:rPr>
          <w:rStyle w:val="DecValTok"/>
        </w:rPr>
        <w:t>1</w:t>
      </w:r>
      <w:r>
        <w:rPr>
          <w:rStyle w:val="NormalTok"/>
        </w:rPr>
        <w:t xml:space="preserve">, </w:t>
      </w:r>
      <w:r>
        <w:rPr>
          <w:rStyle w:val="AttributeTok"/>
        </w:rPr>
        <w:t>fm =</w:t>
      </w:r>
      <w:r>
        <w:rPr>
          <w:rStyle w:val="NormalTok"/>
        </w:rPr>
        <w:t xml:space="preserve"> </w:t>
      </w:r>
      <w:r>
        <w:rPr>
          <w:rStyle w:val="StringTok"/>
        </w:rPr>
        <w:t>"minres"</w:t>
      </w:r>
      <w:r>
        <w:rPr>
          <w:rStyle w:val="NormalTok"/>
        </w:rPr>
        <w:t>)</w:t>
      </w:r>
    </w:p>
    <w:p w14:paraId="430FDBF0" w14:textId="77777777" w:rsidR="00AD4A06" w:rsidRDefault="00634CB6">
      <w:pPr>
        <w:pStyle w:val="FirstParagraph"/>
      </w:pPr>
      <w:r>
        <w:rPr>
          <w:rStyle w:val="VerbatimChar"/>
        </w:rPr>
        <w:t>irt.fa</w:t>
      </w:r>
      <w:r>
        <w:t xml:space="preserve"> function is to run an EFA with a polychoric correlation matrix as an input, not a Pearson’s correlation matrix, because our data is ordinal. The option </w:t>
      </w:r>
      <w:r>
        <w:rPr>
          <w:rStyle w:val="VerbatimChar"/>
        </w:rPr>
        <w:t>fm = "minres"</w:t>
      </w:r>
      <w:r>
        <w:t xml:space="preserve"> implies that we choose minimum residual as a factoring method due to its effectiveness in handling non-normally distributed data. Since we have more than eight response categories, we should instead run an EFA with Pearson’s correlation matrix as an input. Therefore, we first need to create a Pearson’s correlation matrix from our data frame, and then, run an EFA by calling these following commands:</w:t>
      </w:r>
    </w:p>
    <w:p w14:paraId="7CFAC810" w14:textId="77777777" w:rsidR="00AD4A06" w:rsidRDefault="00634CB6">
      <w:pPr>
        <w:pStyle w:val="SourceCode"/>
      </w:pPr>
      <w:r>
        <w:rPr>
          <w:rStyle w:val="NormalTok"/>
        </w:rPr>
        <w:t xml:space="preserve">cor </w:t>
      </w:r>
      <w:r>
        <w:rPr>
          <w:rStyle w:val="OtherTok"/>
        </w:rPr>
        <w:t>&lt;-</w:t>
      </w:r>
      <w:r>
        <w:rPr>
          <w:rStyle w:val="NormalTok"/>
        </w:rPr>
        <w:t xml:space="preserve"> </w:t>
      </w:r>
      <w:r>
        <w:rPr>
          <w:rStyle w:val="FunctionTok"/>
        </w:rPr>
        <w:t>cor</w:t>
      </w:r>
      <w:r>
        <w:rPr>
          <w:rStyle w:val="NormalTok"/>
        </w:rPr>
        <w:t xml:space="preserve">(rwa, </w:t>
      </w:r>
      <w:r>
        <w:rPr>
          <w:rStyle w:val="AttributeTok"/>
        </w:rPr>
        <w:t>method =</w:t>
      </w:r>
      <w:r>
        <w:rPr>
          <w:rStyle w:val="NormalTok"/>
        </w:rPr>
        <w:t xml:space="preserve"> </w:t>
      </w:r>
      <w:r>
        <w:rPr>
          <w:rStyle w:val="StringTok"/>
        </w:rPr>
        <w:t>"pearson"</w:t>
      </w:r>
      <w:r>
        <w:rPr>
          <w:rStyle w:val="NormalTok"/>
        </w:rPr>
        <w:t xml:space="preserve">) </w:t>
      </w:r>
      <w:r>
        <w:rPr>
          <w:rStyle w:val="CommentTok"/>
        </w:rPr>
        <w:t># First, creating a Pearson's correlation matrix.</w:t>
      </w:r>
      <w:r>
        <w:br/>
      </w:r>
      <w:r>
        <w:rPr>
          <w:rStyle w:val="NormalTok"/>
        </w:rPr>
        <w:t xml:space="preserve">efa </w:t>
      </w:r>
      <w:r>
        <w:rPr>
          <w:rStyle w:val="OtherTok"/>
        </w:rPr>
        <w:t>&lt;-</w:t>
      </w:r>
      <w:r>
        <w:rPr>
          <w:rStyle w:val="NormalTok"/>
        </w:rPr>
        <w:t xml:space="preserve"> </w:t>
      </w:r>
      <w:r>
        <w:rPr>
          <w:rStyle w:val="FunctionTok"/>
        </w:rPr>
        <w:t>fa</w:t>
      </w:r>
      <w:r>
        <w:rPr>
          <w:rStyle w:val="NormalTok"/>
        </w:rPr>
        <w:t xml:space="preserve">(rwa, </w:t>
      </w:r>
      <w:r>
        <w:rPr>
          <w:rStyle w:val="AttributeTok"/>
        </w:rPr>
        <w:t>nfactors =</w:t>
      </w:r>
      <w:r>
        <w:rPr>
          <w:rStyle w:val="NormalTok"/>
        </w:rPr>
        <w:t xml:space="preserve"> </w:t>
      </w:r>
      <w:r>
        <w:rPr>
          <w:rStyle w:val="DecValTok"/>
        </w:rPr>
        <w:t>1</w:t>
      </w:r>
      <w:r>
        <w:rPr>
          <w:rStyle w:val="NormalTok"/>
        </w:rPr>
        <w:t xml:space="preserve">, </w:t>
      </w:r>
      <w:r>
        <w:rPr>
          <w:rStyle w:val="AttributeTok"/>
        </w:rPr>
        <w:t>fm =</w:t>
      </w:r>
      <w:r>
        <w:rPr>
          <w:rStyle w:val="NormalTok"/>
        </w:rPr>
        <w:t xml:space="preserve"> </w:t>
      </w:r>
      <w:r>
        <w:rPr>
          <w:rStyle w:val="StringTok"/>
        </w:rPr>
        <w:t>"minres"</w:t>
      </w:r>
      <w:r>
        <w:rPr>
          <w:rStyle w:val="NormalTok"/>
        </w:rPr>
        <w:t xml:space="preserve">) </w:t>
      </w:r>
      <w:r>
        <w:rPr>
          <w:rStyle w:val="CommentTok"/>
        </w:rPr>
        <w:t># Now, running EFA.</w:t>
      </w:r>
      <w:r>
        <w:br/>
      </w:r>
      <w:r>
        <w:rPr>
          <w:rStyle w:val="FunctionTok"/>
        </w:rPr>
        <w:t>print</w:t>
      </w:r>
      <w:r>
        <w:rPr>
          <w:rStyle w:val="NormalTok"/>
        </w:rPr>
        <w:t xml:space="preserve">(efa) </w:t>
      </w:r>
      <w:r>
        <w:rPr>
          <w:rStyle w:val="CommentTok"/>
        </w:rPr>
        <w:t># Print the results.</w:t>
      </w:r>
    </w:p>
    <w:p w14:paraId="514FC406" w14:textId="77777777" w:rsidR="00AD4A06" w:rsidRDefault="00634CB6">
      <w:pPr>
        <w:pStyle w:val="FirstParagraph"/>
      </w:pPr>
      <w:r>
        <w:t xml:space="preserve">After calling the commands, readers can find </w:t>
      </w:r>
      <w:r>
        <w:rPr>
          <w:rStyle w:val="VerbatimChar"/>
        </w:rPr>
        <w:t>Proportion Var</w:t>
      </w:r>
      <w:r>
        <w:t xml:space="preserve"> in the output, which reflects the amount of variance explained by a latent factor. The variance proportion of our EFA model is 0.56, which means that 56% of the total variance is explained by a latent factor. Since the latent factor can account for more than 50% of the variance, we can reasonably assume that the latent factor underlying our data is unidimensional. To better visualize the Eigenvalues of the EFA, we can draw a scree plot using the following commands:</w:t>
      </w:r>
    </w:p>
    <w:p w14:paraId="2839C6DF" w14:textId="77777777" w:rsidR="00AD4A06" w:rsidRDefault="00634CB6">
      <w:pPr>
        <w:pStyle w:val="SourceCode"/>
      </w:pPr>
      <w:r>
        <w:rPr>
          <w:rStyle w:val="FunctionTok"/>
        </w:rPr>
        <w:lastRenderedPageBreak/>
        <w:t>plot</w:t>
      </w:r>
      <w:r>
        <w:rPr>
          <w:rStyle w:val="NormalTok"/>
        </w:rPr>
        <w:t>(efa</w:t>
      </w:r>
      <w:r>
        <w:rPr>
          <w:rStyle w:val="SpecialCharTok"/>
        </w:rPr>
        <w:t>$</w:t>
      </w:r>
      <w:r>
        <w:rPr>
          <w:rStyle w:val="NormalTok"/>
        </w:rPr>
        <w:t xml:space="preserve">values, </w:t>
      </w:r>
      <w:r>
        <w:rPr>
          <w:rStyle w:val="AttributeTok"/>
        </w:rPr>
        <w:t>type =</w:t>
      </w:r>
      <w:r>
        <w:rPr>
          <w:rStyle w:val="NormalTok"/>
        </w:rPr>
        <w:t xml:space="preserve"> </w:t>
      </w:r>
      <w:r>
        <w:rPr>
          <w:rStyle w:val="StringTok"/>
        </w:rPr>
        <w:t>"b"</w:t>
      </w:r>
      <w:r>
        <w:rPr>
          <w:rStyle w:val="NormalTok"/>
        </w:rPr>
        <w:t xml:space="preserve">, </w:t>
      </w:r>
      <w:r>
        <w:rPr>
          <w:rStyle w:val="AttributeTok"/>
        </w:rPr>
        <w:t>main =</w:t>
      </w:r>
      <w:r>
        <w:rPr>
          <w:rStyle w:val="NormalTok"/>
        </w:rPr>
        <w:t xml:space="preserve"> </w:t>
      </w:r>
      <w:r>
        <w:rPr>
          <w:rStyle w:val="StringTok"/>
        </w:rPr>
        <w:t>"Scree Plot"</w:t>
      </w:r>
      <w:r>
        <w:rPr>
          <w:rStyle w:val="NormalTok"/>
        </w:rPr>
        <w:t xml:space="preserve">, </w:t>
      </w:r>
      <w:r>
        <w:rPr>
          <w:rStyle w:val="AttributeTok"/>
        </w:rPr>
        <w:t>xlab =</w:t>
      </w:r>
      <w:r>
        <w:rPr>
          <w:rStyle w:val="NormalTok"/>
        </w:rPr>
        <w:t xml:space="preserve"> </w:t>
      </w:r>
      <w:r>
        <w:rPr>
          <w:rStyle w:val="StringTok"/>
        </w:rPr>
        <w:t>"Factor"</w:t>
      </w:r>
      <w:r>
        <w:rPr>
          <w:rStyle w:val="NormalTok"/>
        </w:rPr>
        <w:t xml:space="preserve">, </w:t>
      </w:r>
      <w:r>
        <w:rPr>
          <w:rStyle w:val="AttributeTok"/>
        </w:rPr>
        <w:t>ylab =</w:t>
      </w:r>
      <w:r>
        <w:rPr>
          <w:rStyle w:val="NormalTok"/>
        </w:rPr>
        <w:t xml:space="preserve"> </w:t>
      </w:r>
      <w:r>
        <w:rPr>
          <w:rStyle w:val="StringTok"/>
        </w:rPr>
        <w:t>"Eigenvalue"</w:t>
      </w:r>
      <w:r>
        <w:rPr>
          <w:rStyle w:val="NormalTok"/>
        </w:rPr>
        <w:t xml:space="preserve">) </w:t>
      </w:r>
      <w:r>
        <w:rPr>
          <w:rStyle w:val="CommentTok"/>
        </w:rPr>
        <w:t># Scree plot</w:t>
      </w:r>
      <w:r>
        <w:br/>
      </w:r>
      <w:r>
        <w:rPr>
          <w:rStyle w:val="FunctionTok"/>
        </w:rPr>
        <w:t>abline</w:t>
      </w:r>
      <w:r>
        <w:rPr>
          <w:rStyle w:val="NormalTok"/>
        </w:rPr>
        <w:t>(</w:t>
      </w:r>
      <w:r>
        <w:rPr>
          <w:rStyle w:val="AttributeTok"/>
        </w:rPr>
        <w:t>h =</w:t>
      </w:r>
      <w:r>
        <w:rPr>
          <w:rStyle w:val="NormalTok"/>
        </w:rPr>
        <w:t xml:space="preserve"> </w:t>
      </w:r>
      <w:r>
        <w:rPr>
          <w:rStyle w:val="DecValTok"/>
        </w:rPr>
        <w:t>1</w:t>
      </w:r>
      <w:r>
        <w:rPr>
          <w:rStyle w:val="NormalTok"/>
        </w:rPr>
        <w:t xml:space="preserve">, </w:t>
      </w:r>
      <w:r>
        <w:rPr>
          <w:rStyle w:val="AttributeTok"/>
        </w:rPr>
        <w:t>col =</w:t>
      </w:r>
      <w:r>
        <w:rPr>
          <w:rStyle w:val="NormalTok"/>
        </w:rPr>
        <w:t xml:space="preserve"> </w:t>
      </w:r>
      <w:r>
        <w:rPr>
          <w:rStyle w:val="StringTok"/>
        </w:rPr>
        <w:t>"red"</w:t>
      </w:r>
      <w:r>
        <w:rPr>
          <w:rStyle w:val="NormalTok"/>
        </w:rPr>
        <w:t xml:space="preserve">, </w:t>
      </w:r>
      <w:r>
        <w:rPr>
          <w:rStyle w:val="AttributeTok"/>
        </w:rPr>
        <w:t>lty =</w:t>
      </w:r>
      <w:r>
        <w:rPr>
          <w:rStyle w:val="NormalTok"/>
        </w:rPr>
        <w:t xml:space="preserve"> </w:t>
      </w:r>
      <w:r>
        <w:rPr>
          <w:rStyle w:val="DecValTok"/>
        </w:rPr>
        <w:t>2</w:t>
      </w:r>
      <w:r>
        <w:rPr>
          <w:rStyle w:val="NormalTok"/>
        </w:rPr>
        <w:t xml:space="preserve">) </w:t>
      </w:r>
      <w:r>
        <w:rPr>
          <w:rStyle w:val="CommentTok"/>
        </w:rPr>
        <w:t># Add new line to eigenvalue = 1.</w:t>
      </w:r>
    </w:p>
    <w:p w14:paraId="6F44805D" w14:textId="77777777" w:rsidR="00AD4A06" w:rsidRDefault="00634CB6">
      <w:pPr>
        <w:pStyle w:val="FirstParagraph"/>
      </w:pPr>
      <w:r>
        <w:t>The first line of code is a function to plot the Eigenvalues (</w:t>
      </w:r>
      <w:r>
        <w:rPr>
          <w:rStyle w:val="VerbatimChar"/>
        </w:rPr>
        <w:t>efa$values</w:t>
      </w:r>
      <w:r>
        <w:t xml:space="preserve">, x-axis) given the number of latent factors (y-axis). The option </w:t>
      </w:r>
      <w:r>
        <w:rPr>
          <w:rStyle w:val="VerbatimChar"/>
        </w:rPr>
        <w:t>type = "b"</w:t>
      </w:r>
      <w:r>
        <w:t xml:space="preserve"> implies that we ask R to display the Eigenvalues exact points and a line connecting these points along the number of factors. The second line of code aims to display a horizontal red line (i.e., a reference line) to see which factors have eigenvalues greater than one, which is a common criterion for factor retention. Figure 2 shows that there is a clear break or an “elbow” that displays the location where the Eigenvalues start to level off. This implies that factors beyond the first may not be meaningful and could be only noise. Therefore, the scree plot strengthens our assumption that the item pool is, indeed, unidimensional.</w:t>
      </w:r>
    </w:p>
    <w:p w14:paraId="6A05A809" w14:textId="77777777" w:rsidR="00AD4A06" w:rsidRDefault="00634CB6">
      <w:r>
        <w:br w:type="page"/>
      </w:r>
    </w:p>
    <w:p w14:paraId="31720BE2" w14:textId="77777777" w:rsidR="00AD4A06" w:rsidRDefault="00634CB6">
      <w:pPr>
        <w:pStyle w:val="FigureTitle"/>
      </w:pPr>
      <w:bookmarkStart w:id="11" w:name="apafg-fig2"/>
      <w:r>
        <w:lastRenderedPageBreak/>
        <w:t>Figure 2</w:t>
      </w:r>
    </w:p>
    <w:bookmarkEnd w:id="11"/>
    <w:p w14:paraId="7F62023A" w14:textId="77777777" w:rsidR="00AD4A06" w:rsidRDefault="00634CB6">
      <w:pPr>
        <w:pStyle w:val="Caption"/>
      </w:pPr>
      <w:r>
        <w:t>Scree Plot</w:t>
      </w:r>
    </w:p>
    <w:p w14:paraId="5A39BBE3" w14:textId="77777777" w:rsidR="00AD4A06" w:rsidRDefault="00634CB6">
      <w:pPr>
        <w:pStyle w:val="FigureWithoutNote"/>
      </w:pPr>
      <w:r>
        <w:rPr>
          <w:noProof/>
        </w:rPr>
        <w:drawing>
          <wp:inline distT="0" distB="0" distL="0" distR="0" wp14:anchorId="4E09E9DD" wp14:editId="07777777">
            <wp:extent cx="5943600" cy="5943600"/>
            <wp:effectExtent l="0" t="0" r="0" b="0"/>
            <wp:docPr id="44" name="Picture"/>
            <wp:cNvGraphicFramePr/>
            <a:graphic xmlns:a="http://schemas.openxmlformats.org/drawingml/2006/main">
              <a:graphicData uri="http://schemas.openxmlformats.org/drawingml/2006/picture">
                <pic:pic xmlns:pic="http://schemas.openxmlformats.org/drawingml/2006/picture">
                  <pic:nvPicPr>
                    <pic:cNvPr id="45" name="Picture" descr="manuscript_files/figure-docx/apafg-fig2-1.png"/>
                    <pic:cNvPicPr>
                      <a:picLocks noChangeAspect="1" noChangeArrowheads="1"/>
                    </pic:cNvPicPr>
                  </pic:nvPicPr>
                  <pic:blipFill>
                    <a:blip r:embed="rId9"/>
                    <a:stretch>
                      <a:fillRect/>
                    </a:stretch>
                  </pic:blipFill>
                  <pic:spPr bwMode="auto">
                    <a:xfrm>
                      <a:off x="0" y="0"/>
                      <a:ext cx="5943600" cy="5943600"/>
                    </a:xfrm>
                    <a:prstGeom prst="rect">
                      <a:avLst/>
                    </a:prstGeom>
                    <a:noFill/>
                    <a:ln w="9525">
                      <a:noFill/>
                      <a:headEnd/>
                      <a:tailEnd/>
                    </a:ln>
                  </pic:spPr>
                </pic:pic>
              </a:graphicData>
            </a:graphic>
          </wp:inline>
        </w:drawing>
      </w:r>
    </w:p>
    <w:p w14:paraId="41C8F396" w14:textId="77777777" w:rsidR="00AD4A06" w:rsidRDefault="00634CB6">
      <w:r>
        <w:br w:type="page"/>
      </w:r>
    </w:p>
    <w:p w14:paraId="7D8FBE7A" w14:textId="77777777" w:rsidR="00AD4A06" w:rsidRDefault="00634CB6">
      <w:pPr>
        <w:pStyle w:val="Heading2"/>
      </w:pPr>
      <w:bookmarkStart w:id="12" w:name="Xcdd335fbc80fed5396098f166b48cb0c87a0ee4"/>
      <w:bookmarkEnd w:id="10"/>
      <w:r>
        <w:lastRenderedPageBreak/>
        <w:t>Step 4: Model Estimation, Parameters, and Fit Statistics</w:t>
      </w:r>
    </w:p>
    <w:p w14:paraId="17D3466C" w14:textId="77777777" w:rsidR="00AD4A06" w:rsidRDefault="00634CB6">
      <w:pPr>
        <w:pStyle w:val="FirstParagraph"/>
      </w:pPr>
      <w:r>
        <w:t>In this step, we start to specify a vector representing our model, such as:</w:t>
      </w:r>
    </w:p>
    <w:p w14:paraId="17216578" w14:textId="77777777" w:rsidR="00AD4A06" w:rsidRDefault="00634CB6">
      <w:pPr>
        <w:pStyle w:val="SourceCode"/>
      </w:pPr>
      <w:r>
        <w:rPr>
          <w:rStyle w:val="NormalTok"/>
        </w:rPr>
        <w:t xml:space="preserve">model </w:t>
      </w:r>
      <w:r>
        <w:rPr>
          <w:rStyle w:val="OtherTok"/>
        </w:rPr>
        <w:t>&lt;-</w:t>
      </w:r>
      <w:r>
        <w:rPr>
          <w:rStyle w:val="NormalTok"/>
        </w:rPr>
        <w:t xml:space="preserve"> </w:t>
      </w:r>
      <w:r>
        <w:rPr>
          <w:rStyle w:val="StringTok"/>
        </w:rPr>
        <w:t>'rwa = 1-22'</w:t>
      </w:r>
    </w:p>
    <w:p w14:paraId="28B4A074" w14:textId="77777777" w:rsidR="00AD4A06" w:rsidRDefault="00634CB6">
      <w:pPr>
        <w:pStyle w:val="FirstParagraph"/>
      </w:pPr>
      <w:r>
        <w:t xml:space="preserve">This code implies that we want to estimate a model with </w:t>
      </w:r>
      <m:oMath>
        <m:r>
          <w:rPr>
            <w:rFonts w:ascii="Cambria Math" w:hAnsi="Cambria Math"/>
          </w:rPr>
          <m:t>θ</m:t>
        </m:r>
      </m:oMath>
      <w:r>
        <w:t xml:space="preserve"> namely </w:t>
      </w:r>
      <w:r>
        <w:rPr>
          <w:rStyle w:val="VerbatimChar"/>
        </w:rPr>
        <w:t>rwa</w:t>
      </w:r>
      <w:r>
        <w:t xml:space="preserve">, and the items representing the </w:t>
      </w:r>
      <m:oMath>
        <m:r>
          <w:rPr>
            <w:rFonts w:ascii="Cambria Math" w:hAnsi="Cambria Math"/>
          </w:rPr>
          <m:t>θ</m:t>
        </m:r>
      </m:oMath>
      <w:r>
        <w:t xml:space="preserve"> are columns 1 to 22 of the data frame that we are going to use in the analysis. Then, we can continue to model fitting by typing the following command:</w:t>
      </w:r>
    </w:p>
    <w:p w14:paraId="210E9B70" w14:textId="77777777" w:rsidR="00AD4A06" w:rsidRDefault="00634CB6">
      <w:pPr>
        <w:pStyle w:val="SourceCode"/>
      </w:pPr>
      <w:r>
        <w:rPr>
          <w:rStyle w:val="NormalTok"/>
        </w:rPr>
        <w:t xml:space="preserve">fit </w:t>
      </w:r>
      <w:r>
        <w:rPr>
          <w:rStyle w:val="OtherTok"/>
        </w:rPr>
        <w:t>&lt;-</w:t>
      </w:r>
      <w:r>
        <w:rPr>
          <w:rStyle w:val="NormalTok"/>
        </w:rPr>
        <w:t xml:space="preserve"> </w:t>
      </w:r>
      <w:r>
        <w:rPr>
          <w:rStyle w:val="FunctionTok"/>
        </w:rPr>
        <w:t>mirt</w:t>
      </w:r>
      <w:r>
        <w:rPr>
          <w:rStyle w:val="NormalTok"/>
        </w:rPr>
        <w:t>(</w:t>
      </w:r>
      <w:r>
        <w:rPr>
          <w:rStyle w:val="AttributeTok"/>
        </w:rPr>
        <w:t>data =</w:t>
      </w:r>
      <w:r>
        <w:rPr>
          <w:rStyle w:val="NormalTok"/>
        </w:rPr>
        <w:t xml:space="preserve"> rwa, </w:t>
      </w:r>
      <w:r>
        <w:rPr>
          <w:rStyle w:val="DecValTok"/>
        </w:rPr>
        <w:t>1</w:t>
      </w:r>
      <w:r>
        <w:rPr>
          <w:rStyle w:val="NormalTok"/>
        </w:rPr>
        <w:t xml:space="preserve">, </w:t>
      </w:r>
      <w:r>
        <w:rPr>
          <w:rStyle w:val="AttributeTok"/>
        </w:rPr>
        <w:t>model =</w:t>
      </w:r>
      <w:r>
        <w:rPr>
          <w:rStyle w:val="NormalTok"/>
        </w:rPr>
        <w:t xml:space="preserve"> model, </w:t>
      </w:r>
      <w:r>
        <w:rPr>
          <w:rStyle w:val="AttributeTok"/>
        </w:rPr>
        <w:t>itemtype =</w:t>
      </w:r>
      <w:r>
        <w:rPr>
          <w:rStyle w:val="NormalTok"/>
        </w:rPr>
        <w:t xml:space="preserve"> </w:t>
      </w:r>
      <w:r>
        <w:rPr>
          <w:rStyle w:val="StringTok"/>
        </w:rPr>
        <w:t>"graded"</w:t>
      </w:r>
      <w:r>
        <w:rPr>
          <w:rStyle w:val="NormalTok"/>
        </w:rPr>
        <w:t xml:space="preserve">, </w:t>
      </w:r>
      <w:r>
        <w:rPr>
          <w:rStyle w:val="AttributeTok"/>
        </w:rPr>
        <w:t>SE =</w:t>
      </w:r>
      <w:r>
        <w:rPr>
          <w:rStyle w:val="NormalTok"/>
        </w:rPr>
        <w:t xml:space="preserve"> </w:t>
      </w:r>
      <w:r>
        <w:rPr>
          <w:rStyle w:val="ConstantTok"/>
        </w:rPr>
        <w:t>TRUE</w:t>
      </w:r>
      <w:r>
        <w:rPr>
          <w:rStyle w:val="NormalTok"/>
        </w:rPr>
        <w:t xml:space="preserve">, </w:t>
      </w:r>
      <w:r>
        <w:rPr>
          <w:rStyle w:val="AttributeTok"/>
        </w:rPr>
        <w:t>verbose =</w:t>
      </w:r>
      <w:r>
        <w:rPr>
          <w:rStyle w:val="NormalTok"/>
        </w:rPr>
        <w:t xml:space="preserve"> </w:t>
      </w:r>
      <w:r>
        <w:rPr>
          <w:rStyle w:val="ConstantTok"/>
        </w:rPr>
        <w:t>FALSE</w:t>
      </w:r>
      <w:r>
        <w:rPr>
          <w:rStyle w:val="NormalTok"/>
        </w:rPr>
        <w:t>)</w:t>
      </w:r>
    </w:p>
    <w:p w14:paraId="1E12223E" w14:textId="77777777" w:rsidR="00AD4A06" w:rsidRDefault="00634CB6">
      <w:pPr>
        <w:pStyle w:val="FirstParagraph"/>
      </w:pPr>
      <w:r>
        <w:t xml:space="preserve">The code above implies that we are fitting an IRT model using data from a data frame namely </w:t>
      </w:r>
      <w:r>
        <w:rPr>
          <w:rStyle w:val="VerbatimChar"/>
        </w:rPr>
        <w:t>rwa</w:t>
      </w:r>
      <w:r>
        <w:t xml:space="preserve"> (</w:t>
      </w:r>
      <w:r>
        <w:rPr>
          <w:rStyle w:val="VerbatimChar"/>
        </w:rPr>
        <w:t>data = rwa</w:t>
      </w:r>
      <w:r>
        <w:t xml:space="preserve">). The number </w:t>
      </w:r>
      <w:r>
        <w:rPr>
          <w:rStyle w:val="VerbatimChar"/>
        </w:rPr>
        <w:t>1</w:t>
      </w:r>
      <w:r>
        <w:t xml:space="preserve"> indicates that we assume that the model contains only one </w:t>
      </w:r>
      <m:oMath>
        <m:r>
          <w:rPr>
            <w:rFonts w:ascii="Cambria Math" w:hAnsi="Cambria Math"/>
          </w:rPr>
          <m:t>θ</m:t>
        </m:r>
      </m:oMath>
      <w:r>
        <w:t xml:space="preserve">, i.e., unidimensional. We also set the model specification to </w:t>
      </w:r>
      <w:r>
        <w:rPr>
          <w:rStyle w:val="VerbatimChar"/>
        </w:rPr>
        <w:t>model = model</w:t>
      </w:r>
      <w:r>
        <w:t xml:space="preserve">, which we have previously determined. We set </w:t>
      </w:r>
      <w:r>
        <w:rPr>
          <w:rStyle w:val="VerbatimChar"/>
        </w:rPr>
        <w:t>itemtype</w:t>
      </w:r>
      <w:r>
        <w:t xml:space="preserve"> to </w:t>
      </w:r>
      <w:r>
        <w:rPr>
          <w:rStyle w:val="VerbatimChar"/>
        </w:rPr>
        <w:t>"graded"</w:t>
      </w:r>
      <w:r>
        <w:t xml:space="preserve"> because we want to run a GRM model. The </w:t>
      </w:r>
      <w:r>
        <w:rPr>
          <w:rStyle w:val="VerbatimChar"/>
        </w:rPr>
        <w:t>SE</w:t>
      </w:r>
      <w:r>
        <w:t xml:space="preserve"> option is set to </w:t>
      </w:r>
      <w:r>
        <w:rPr>
          <w:rStyle w:val="VerbatimChar"/>
        </w:rPr>
        <w:t>TRUE</w:t>
      </w:r>
      <w:r>
        <w:t xml:space="preserve"> because we ask R to also estimate the standard error. At last, we set the </w:t>
      </w:r>
      <w:r>
        <w:rPr>
          <w:rStyle w:val="VerbatimChar"/>
        </w:rPr>
        <w:t>verbose</w:t>
      </w:r>
      <w:r>
        <w:t xml:space="preserve"> option to </w:t>
      </w:r>
      <w:r>
        <w:rPr>
          <w:rStyle w:val="VerbatimChar"/>
        </w:rPr>
        <w:t>FALSE</w:t>
      </w:r>
      <w:r>
        <w:t xml:space="preserve"> to avoid R displaying unnecessary information during the model fitting process, so the </w:t>
      </w:r>
      <w:r>
        <w:rPr>
          <w:rStyle w:val="VerbatimChar"/>
        </w:rPr>
        <w:t>mirt()</w:t>
      </w:r>
      <w:r>
        <w:t xml:space="preserve"> function can run quietly.</w:t>
      </w:r>
    </w:p>
    <w:p w14:paraId="756F132E" w14:textId="77777777" w:rsidR="00AD4A06" w:rsidRDefault="00634CB6">
      <w:pPr>
        <w:pStyle w:val="BodyText"/>
      </w:pPr>
      <w:r>
        <w:t>Next, we can ask the package to calculate item discrimination and thresholds by calling these functions below:</w:t>
      </w:r>
    </w:p>
    <w:p w14:paraId="33578EE6" w14:textId="77777777" w:rsidR="00AD4A06" w:rsidRDefault="00634CB6">
      <w:pPr>
        <w:pStyle w:val="SourceCode"/>
      </w:pPr>
      <w:r>
        <w:rPr>
          <w:rStyle w:val="NormalTok"/>
        </w:rPr>
        <w:t xml:space="preserve">coefs </w:t>
      </w:r>
      <w:r>
        <w:rPr>
          <w:rStyle w:val="OtherTok"/>
        </w:rPr>
        <w:t>&lt;-</w:t>
      </w:r>
      <w:r>
        <w:rPr>
          <w:rStyle w:val="NormalTok"/>
        </w:rPr>
        <w:t xml:space="preserve"> </w:t>
      </w:r>
      <w:r>
        <w:rPr>
          <w:rStyle w:val="FunctionTok"/>
        </w:rPr>
        <w:t>coef</w:t>
      </w:r>
      <w:r>
        <w:rPr>
          <w:rStyle w:val="NormalTok"/>
        </w:rPr>
        <w:t xml:space="preserve">(fit, </w:t>
      </w:r>
      <w:r>
        <w:rPr>
          <w:rStyle w:val="AttributeTok"/>
        </w:rPr>
        <w:t>IRTpars =</w:t>
      </w:r>
      <w:r>
        <w:rPr>
          <w:rStyle w:val="NormalTok"/>
        </w:rPr>
        <w:t xml:space="preserve"> </w:t>
      </w:r>
      <w:r>
        <w:rPr>
          <w:rStyle w:val="ConstantTok"/>
        </w:rPr>
        <w:t>TRUE</w:t>
      </w:r>
      <w:r>
        <w:rPr>
          <w:rStyle w:val="NormalTok"/>
        </w:rPr>
        <w:t xml:space="preserve">, </w:t>
      </w:r>
      <w:r>
        <w:rPr>
          <w:rStyle w:val="AttributeTok"/>
        </w:rPr>
        <w:t>simplify =</w:t>
      </w:r>
      <w:r>
        <w:rPr>
          <w:rStyle w:val="NormalTok"/>
        </w:rPr>
        <w:t xml:space="preserve"> </w:t>
      </w:r>
      <w:r>
        <w:rPr>
          <w:rStyle w:val="ConstantTok"/>
        </w:rPr>
        <w:t>TRUE</w:t>
      </w:r>
      <w:r>
        <w:rPr>
          <w:rStyle w:val="NormalTok"/>
        </w:rPr>
        <w:t xml:space="preserve">) </w:t>
      </w:r>
      <w:r>
        <w:rPr>
          <w:rStyle w:val="CommentTok"/>
        </w:rPr>
        <w:t># Saving model parameters (item discrimination (a) and threshold (b)) in a data frame.</w:t>
      </w:r>
      <w:r>
        <w:br/>
      </w:r>
      <w:r>
        <w:rPr>
          <w:rStyle w:val="FunctionTok"/>
        </w:rPr>
        <w:t>print</w:t>
      </w:r>
      <w:r>
        <w:rPr>
          <w:rStyle w:val="NormalTok"/>
        </w:rPr>
        <w:t xml:space="preserve">(coefs) </w:t>
      </w:r>
      <w:r>
        <w:rPr>
          <w:rStyle w:val="CommentTok"/>
        </w:rPr>
        <w:t># Calling the data frame.</w:t>
      </w:r>
      <w:r>
        <w:br/>
      </w:r>
      <w:r>
        <w:rPr>
          <w:rStyle w:val="FunctionTok"/>
        </w:rPr>
        <w:t>summary</w:t>
      </w:r>
      <w:r>
        <w:rPr>
          <w:rStyle w:val="NormalTok"/>
        </w:rPr>
        <w:t xml:space="preserve">(fit) </w:t>
      </w:r>
      <w:r>
        <w:rPr>
          <w:rStyle w:val="CommentTok"/>
        </w:rPr>
        <w:t># Displaying factor loadings and commonality.</w:t>
      </w:r>
    </w:p>
    <w:p w14:paraId="22FA60C0" w14:textId="77777777" w:rsidR="00AD4A06" w:rsidRDefault="00634CB6">
      <w:pPr>
        <w:pStyle w:val="FirstParagraph"/>
      </w:pPr>
      <w:r>
        <w:t xml:space="preserve">The first line of code indicates that we are calling a </w:t>
      </w:r>
      <w:r>
        <w:rPr>
          <w:rStyle w:val="VerbatimChar"/>
        </w:rPr>
        <w:t>coef()</w:t>
      </w:r>
      <w:r>
        <w:t xml:space="preserve"> function to calculate item parameters from </w:t>
      </w:r>
      <w:r>
        <w:rPr>
          <w:rStyle w:val="VerbatimChar"/>
        </w:rPr>
        <w:t>fit</w:t>
      </w:r>
      <w:r>
        <w:t xml:space="preserve"> model, and then, store them in a new data frame called </w:t>
      </w:r>
      <w:r>
        <w:rPr>
          <w:rStyle w:val="VerbatimChar"/>
        </w:rPr>
        <w:t>coefs</w:t>
      </w:r>
      <w:r>
        <w:t xml:space="preserve">. The </w:t>
      </w:r>
      <w:r>
        <w:rPr>
          <w:rStyle w:val="VerbatimChar"/>
        </w:rPr>
        <w:lastRenderedPageBreak/>
        <w:t>IRTpars</w:t>
      </w:r>
      <w:r>
        <w:t xml:space="preserve"> and </w:t>
      </w:r>
      <w:r>
        <w:rPr>
          <w:rStyle w:val="VerbatimChar"/>
        </w:rPr>
        <w:t>simplify</w:t>
      </w:r>
      <w:r>
        <w:t xml:space="preserve"> option is set to </w:t>
      </w:r>
      <w:r>
        <w:rPr>
          <w:rStyle w:val="VerbatimChar"/>
        </w:rPr>
        <w:t>TRUE</w:t>
      </w:r>
      <w:r>
        <w:t xml:space="preserve"> because we want to display the traditional IRT parameters (</w:t>
      </w:r>
      <w:r>
        <w:rPr>
          <w:i/>
          <w:iCs/>
        </w:rPr>
        <w:t>a</w:t>
      </w:r>
      <w:r>
        <w:t xml:space="preserve"> and </w:t>
      </w:r>
      <w:r>
        <w:rPr>
          <w:i/>
          <w:iCs/>
        </w:rPr>
        <w:t>b</w:t>
      </w:r>
      <w:r>
        <w:t>) in a simple, readable format without showing the standard errors.</w:t>
      </w:r>
    </w:p>
    <w:p w14:paraId="66C37BF0" w14:textId="77777777" w:rsidR="00AD4A06" w:rsidRDefault="00634CB6">
      <w:pPr>
        <w:pStyle w:val="BodyText"/>
      </w:pPr>
      <w:r>
        <w:t>The output from this procedure is presented in Table 2, which shows item discrimination (</w:t>
      </w:r>
      <w:r>
        <w:rPr>
          <w:i/>
          <w:iCs/>
        </w:rPr>
        <w:t>a</w:t>
      </w:r>
      <w:r>
        <w:t>) of each item and item thresholds (</w:t>
      </w:r>
      <w:r>
        <w:rPr>
          <w:i/>
          <w:iCs/>
        </w:rPr>
        <w:t>b1-b8</w:t>
      </w:r>
      <w:r>
        <w:t xml:space="preserve">) of each response category within an item. To interpret </w:t>
      </w:r>
      <w:r>
        <w:rPr>
          <w:i/>
          <w:iCs/>
        </w:rPr>
        <w:t>a</w:t>
      </w:r>
      <w:r>
        <w:t xml:space="preserve">, readers can use a rule of thumb suggested by Baker and Seock-Ho (2017), which categorizes item discrimination exceeding 0.00, 0.35, 0.65, 1.35, and 1.70, as very low, low, moderate, high, and very high. As we see in {apatb-table4}, item discrimination parameters of the RWA scale range from high to very high (1.57 (Q1) to 3.32 (Q7)), suggesting efficient differentiation among individuals at different RWA levels. All threshold parameters show a consistent increase, implying that those with higher RWA levels tend towards a higher response categories. However, </w:t>
      </w:r>
      <w:r>
        <w:rPr>
          <w:i/>
          <w:iCs/>
        </w:rPr>
        <w:t>b1</w:t>
      </w:r>
      <w:r>
        <w:t xml:space="preserve"> and </w:t>
      </w:r>
      <w:r>
        <w:rPr>
          <w:i/>
          <w:iCs/>
        </w:rPr>
        <w:t>b2</w:t>
      </w:r>
      <w:r>
        <w:t xml:space="preserve"> for all items are very close to zero, which indicates that individuals with the RWA level around the mean are likely to opt for “</w:t>
      </w:r>
      <w:r>
        <w:rPr>
          <w:i/>
          <w:iCs/>
        </w:rPr>
        <w:t>strongly disagree</w:t>
      </w:r>
      <w:r>
        <w:t>” or stepping to its adjacent response category. This might suggest that the RWA scale is less sensitive to individuals with a low or very low RWA level.</w:t>
      </w:r>
    </w:p>
    <w:p w14:paraId="35C38470" w14:textId="77777777" w:rsidR="00AD4A06" w:rsidRDefault="00634CB6">
      <w:pPr>
        <w:pStyle w:val="BodyText"/>
      </w:pPr>
      <w:r>
        <w:t>The third line of code is a function to calculate a factor loading (</w:t>
      </w:r>
      <m:oMath>
        <m:r>
          <w:rPr>
            <w:rFonts w:ascii="Cambria Math" w:hAnsi="Cambria Math"/>
          </w:rPr>
          <m:t>λ</m:t>
        </m:r>
      </m:oMath>
      <w:r>
        <w:t>) and commonality (h</w:t>
      </w:r>
      <w:r>
        <w:rPr>
          <w:vertAlign w:val="superscript"/>
        </w:rPr>
        <w:t>2</w:t>
      </w:r>
      <w:r>
        <w:t xml:space="preserve">) of each item, which are also provided in Table 2. Before estimating a graded response model, </w:t>
      </w:r>
      <w:r>
        <w:rPr>
          <w:i/>
          <w:iCs/>
        </w:rPr>
        <w:t>mirt</w:t>
      </w:r>
      <w:r>
        <w:t xml:space="preserve"> ran an EFA, and now as we can see in the console, we are looking at the EFA results. The results are slightly different from our previous EFA analysis, because </w:t>
      </w:r>
      <w:r>
        <w:rPr>
          <w:i/>
          <w:iCs/>
        </w:rPr>
        <w:t>mirt</w:t>
      </w:r>
      <w:r>
        <w:t xml:space="preserve"> runs EFA using a quasi-polychoric correlation matrix, while the one we ran earlier to test unidimensionality used a Pearson’s correlation matrix as an input. However, most importantly, we see that all items are significantly loaded to one factor, and the factor now substantially accounts for 65.1% of the variance in the data, which strengthens our assumption that the RWA scale is unidimensional.</w:t>
      </w:r>
    </w:p>
    <w:p w14:paraId="72A3D3EC" w14:textId="77777777" w:rsidR="00AD4A06" w:rsidRDefault="00634CB6">
      <w:r>
        <w:br w:type="page"/>
      </w:r>
    </w:p>
    <w:p w14:paraId="0D0B940D" w14:textId="77777777" w:rsidR="00634CB6" w:rsidRDefault="00634CB6">
      <w:pPr>
        <w:pStyle w:val="FigureTitle"/>
        <w:sectPr w:rsidR="00634CB6" w:rsidSect="00C85942">
          <w:headerReference w:type="default" r:id="rId10"/>
          <w:type w:val="continuous"/>
          <w:pgSz w:w="12240" w:h="15840"/>
          <w:pgMar w:top="1440" w:right="1440" w:bottom="1440" w:left="1440" w:header="720" w:footer="720" w:gutter="0"/>
          <w:cols w:space="720"/>
        </w:sectPr>
      </w:pPr>
      <w:bookmarkStart w:id="13" w:name="apatb-table2"/>
    </w:p>
    <w:p w14:paraId="13BD0120" w14:textId="77777777" w:rsidR="00AD4A06" w:rsidRDefault="00634CB6">
      <w:pPr>
        <w:pStyle w:val="FigureTitle"/>
      </w:pPr>
      <w:r>
        <w:lastRenderedPageBreak/>
        <w:t>Table 2</w:t>
      </w:r>
    </w:p>
    <w:bookmarkEnd w:id="13"/>
    <w:p w14:paraId="53153E77" w14:textId="77777777" w:rsidR="00AD4A06" w:rsidRDefault="00634CB6">
      <w:pPr>
        <w:pStyle w:val="Caption"/>
      </w:pPr>
      <w:r>
        <w:t>Item Parameters</w:t>
      </w:r>
    </w:p>
    <w:tbl>
      <w:tblPr>
        <w:tblW w:w="0" w:type="auto"/>
        <w:tblLayout w:type="fixed"/>
        <w:tblLook w:val="0420" w:firstRow="1" w:lastRow="0" w:firstColumn="0" w:lastColumn="0" w:noHBand="0" w:noVBand="1"/>
      </w:tblPr>
      <w:tblGrid>
        <w:gridCol w:w="1080"/>
        <w:gridCol w:w="1080"/>
        <w:gridCol w:w="1080"/>
        <w:gridCol w:w="1080"/>
        <w:gridCol w:w="1080"/>
        <w:gridCol w:w="1080"/>
        <w:gridCol w:w="1080"/>
        <w:gridCol w:w="1080"/>
        <w:gridCol w:w="1080"/>
        <w:gridCol w:w="1080"/>
        <w:gridCol w:w="1080"/>
        <w:gridCol w:w="1080"/>
      </w:tblGrid>
      <w:tr w:rsidR="00AD4A06" w14:paraId="2FB8E058" w14:textId="77777777">
        <w:trPr>
          <w:tblHeader/>
        </w:trPr>
        <w:tc>
          <w:tcPr>
            <w:tcW w:w="1080" w:type="dxa"/>
            <w:tcBorders>
              <w:top w:val="single" w:sz="6" w:space="0" w:color="000000"/>
              <w:left w:val="none" w:sz="0" w:space="0" w:color="000000"/>
              <w:bottom w:val="single" w:sz="6" w:space="0" w:color="000000"/>
              <w:right w:val="none" w:sz="0" w:space="0" w:color="000000"/>
            </w:tcBorders>
            <w:shd w:val="clear" w:color="auto" w:fill="FFFFFF"/>
            <w:tcMar>
              <w:top w:w="0" w:type="dxa"/>
              <w:left w:w="0" w:type="dxa"/>
              <w:bottom w:w="0" w:type="dxa"/>
              <w:right w:w="0" w:type="dxa"/>
            </w:tcMar>
            <w:vAlign w:val="center"/>
          </w:tcPr>
          <w:p w14:paraId="0193CB87" w14:textId="77777777" w:rsidR="00AD4A06" w:rsidRDefault="00634CB6">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Item</w:t>
            </w:r>
          </w:p>
        </w:tc>
        <w:tc>
          <w:tcPr>
            <w:tcW w:w="1080" w:type="dxa"/>
            <w:tcBorders>
              <w:top w:val="single" w:sz="6" w:space="0" w:color="000000"/>
              <w:left w:val="none" w:sz="0" w:space="0" w:color="000000"/>
              <w:bottom w:val="single" w:sz="6" w:space="0" w:color="000000"/>
              <w:right w:val="none" w:sz="0" w:space="0" w:color="000000"/>
            </w:tcBorders>
            <w:shd w:val="clear" w:color="auto" w:fill="FFFFFF"/>
            <w:tcMar>
              <w:top w:w="0" w:type="dxa"/>
              <w:left w:w="0" w:type="dxa"/>
              <w:bottom w:w="0" w:type="dxa"/>
              <w:right w:w="0" w:type="dxa"/>
            </w:tcMar>
            <w:vAlign w:val="center"/>
          </w:tcPr>
          <w:p w14:paraId="45F94F8F" w14:textId="77777777" w:rsidR="00AD4A06" w:rsidRDefault="00634CB6">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a</w:t>
            </w:r>
          </w:p>
        </w:tc>
        <w:tc>
          <w:tcPr>
            <w:tcW w:w="1080" w:type="dxa"/>
            <w:tcBorders>
              <w:top w:val="single" w:sz="6" w:space="0" w:color="000000"/>
              <w:left w:val="none" w:sz="0" w:space="0" w:color="000000"/>
              <w:bottom w:val="single" w:sz="6" w:space="0" w:color="000000"/>
              <w:right w:val="none" w:sz="0" w:space="0" w:color="000000"/>
            </w:tcBorders>
            <w:shd w:val="clear" w:color="auto" w:fill="FFFFFF"/>
            <w:tcMar>
              <w:top w:w="0" w:type="dxa"/>
              <w:left w:w="0" w:type="dxa"/>
              <w:bottom w:w="0" w:type="dxa"/>
              <w:right w:w="0" w:type="dxa"/>
            </w:tcMar>
            <w:vAlign w:val="center"/>
          </w:tcPr>
          <w:p w14:paraId="076F065C" w14:textId="77777777" w:rsidR="00AD4A06" w:rsidRDefault="00634CB6">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b1</w:t>
            </w:r>
          </w:p>
        </w:tc>
        <w:tc>
          <w:tcPr>
            <w:tcW w:w="1080" w:type="dxa"/>
            <w:tcBorders>
              <w:top w:val="single" w:sz="6" w:space="0" w:color="000000"/>
              <w:left w:val="none" w:sz="0" w:space="0" w:color="000000"/>
              <w:bottom w:val="single" w:sz="6" w:space="0" w:color="000000"/>
              <w:right w:val="none" w:sz="0" w:space="0" w:color="000000"/>
            </w:tcBorders>
            <w:shd w:val="clear" w:color="auto" w:fill="FFFFFF"/>
            <w:tcMar>
              <w:top w:w="0" w:type="dxa"/>
              <w:left w:w="0" w:type="dxa"/>
              <w:bottom w:w="0" w:type="dxa"/>
              <w:right w:w="0" w:type="dxa"/>
            </w:tcMar>
            <w:vAlign w:val="center"/>
          </w:tcPr>
          <w:p w14:paraId="33261970" w14:textId="77777777" w:rsidR="00AD4A06" w:rsidRDefault="00634CB6">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b2</w:t>
            </w:r>
          </w:p>
        </w:tc>
        <w:tc>
          <w:tcPr>
            <w:tcW w:w="1080" w:type="dxa"/>
            <w:tcBorders>
              <w:top w:val="single" w:sz="6" w:space="0" w:color="000000"/>
              <w:left w:val="none" w:sz="0" w:space="0" w:color="000000"/>
              <w:bottom w:val="single" w:sz="6" w:space="0" w:color="000000"/>
              <w:right w:val="none" w:sz="0" w:space="0" w:color="000000"/>
            </w:tcBorders>
            <w:shd w:val="clear" w:color="auto" w:fill="FFFFFF"/>
            <w:tcMar>
              <w:top w:w="0" w:type="dxa"/>
              <w:left w:w="0" w:type="dxa"/>
              <w:bottom w:w="0" w:type="dxa"/>
              <w:right w:w="0" w:type="dxa"/>
            </w:tcMar>
            <w:vAlign w:val="center"/>
          </w:tcPr>
          <w:p w14:paraId="289FD11D" w14:textId="77777777" w:rsidR="00AD4A06" w:rsidRDefault="00634CB6">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b3</w:t>
            </w:r>
          </w:p>
        </w:tc>
        <w:tc>
          <w:tcPr>
            <w:tcW w:w="1080" w:type="dxa"/>
            <w:tcBorders>
              <w:top w:val="single" w:sz="6" w:space="0" w:color="000000"/>
              <w:left w:val="none" w:sz="0" w:space="0" w:color="000000"/>
              <w:bottom w:val="single" w:sz="6" w:space="0" w:color="000000"/>
              <w:right w:val="none" w:sz="0" w:space="0" w:color="000000"/>
            </w:tcBorders>
            <w:shd w:val="clear" w:color="auto" w:fill="FFFFFF"/>
            <w:tcMar>
              <w:top w:w="0" w:type="dxa"/>
              <w:left w:w="0" w:type="dxa"/>
              <w:bottom w:w="0" w:type="dxa"/>
              <w:right w:w="0" w:type="dxa"/>
            </w:tcMar>
            <w:vAlign w:val="center"/>
          </w:tcPr>
          <w:p w14:paraId="6D2CA777" w14:textId="77777777" w:rsidR="00AD4A06" w:rsidRDefault="00634CB6">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b4</w:t>
            </w:r>
          </w:p>
        </w:tc>
        <w:tc>
          <w:tcPr>
            <w:tcW w:w="1080" w:type="dxa"/>
            <w:tcBorders>
              <w:top w:val="single" w:sz="6" w:space="0" w:color="000000"/>
              <w:left w:val="none" w:sz="0" w:space="0" w:color="000000"/>
              <w:bottom w:val="single" w:sz="6" w:space="0" w:color="000000"/>
              <w:right w:val="none" w:sz="0" w:space="0" w:color="000000"/>
            </w:tcBorders>
            <w:shd w:val="clear" w:color="auto" w:fill="FFFFFF"/>
            <w:tcMar>
              <w:top w:w="0" w:type="dxa"/>
              <w:left w:w="0" w:type="dxa"/>
              <w:bottom w:w="0" w:type="dxa"/>
              <w:right w:w="0" w:type="dxa"/>
            </w:tcMar>
            <w:vAlign w:val="center"/>
          </w:tcPr>
          <w:p w14:paraId="1C26E571" w14:textId="77777777" w:rsidR="00AD4A06" w:rsidRDefault="00634CB6">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b5</w:t>
            </w:r>
          </w:p>
        </w:tc>
        <w:tc>
          <w:tcPr>
            <w:tcW w:w="1080" w:type="dxa"/>
            <w:tcBorders>
              <w:top w:val="single" w:sz="6" w:space="0" w:color="000000"/>
              <w:left w:val="none" w:sz="0" w:space="0" w:color="000000"/>
              <w:bottom w:val="single" w:sz="6" w:space="0" w:color="000000"/>
              <w:right w:val="none" w:sz="0" w:space="0" w:color="000000"/>
            </w:tcBorders>
            <w:shd w:val="clear" w:color="auto" w:fill="FFFFFF"/>
            <w:tcMar>
              <w:top w:w="0" w:type="dxa"/>
              <w:left w:w="0" w:type="dxa"/>
              <w:bottom w:w="0" w:type="dxa"/>
              <w:right w:w="0" w:type="dxa"/>
            </w:tcMar>
            <w:vAlign w:val="center"/>
          </w:tcPr>
          <w:p w14:paraId="266C1BCD" w14:textId="77777777" w:rsidR="00AD4A06" w:rsidRDefault="00634CB6">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b6</w:t>
            </w:r>
          </w:p>
        </w:tc>
        <w:tc>
          <w:tcPr>
            <w:tcW w:w="1080" w:type="dxa"/>
            <w:tcBorders>
              <w:top w:val="single" w:sz="6" w:space="0" w:color="000000"/>
              <w:left w:val="none" w:sz="0" w:space="0" w:color="000000"/>
              <w:bottom w:val="single" w:sz="6" w:space="0" w:color="000000"/>
              <w:right w:val="none" w:sz="0" w:space="0" w:color="000000"/>
            </w:tcBorders>
            <w:shd w:val="clear" w:color="auto" w:fill="FFFFFF"/>
            <w:tcMar>
              <w:top w:w="0" w:type="dxa"/>
              <w:left w:w="0" w:type="dxa"/>
              <w:bottom w:w="0" w:type="dxa"/>
              <w:right w:w="0" w:type="dxa"/>
            </w:tcMar>
            <w:vAlign w:val="center"/>
          </w:tcPr>
          <w:p w14:paraId="55DF6F17" w14:textId="77777777" w:rsidR="00AD4A06" w:rsidRDefault="00634CB6">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b7</w:t>
            </w:r>
          </w:p>
        </w:tc>
        <w:tc>
          <w:tcPr>
            <w:tcW w:w="1080" w:type="dxa"/>
            <w:tcBorders>
              <w:top w:val="single" w:sz="6" w:space="0" w:color="000000"/>
              <w:left w:val="none" w:sz="0" w:space="0" w:color="000000"/>
              <w:bottom w:val="single" w:sz="6" w:space="0" w:color="000000"/>
              <w:right w:val="none" w:sz="0" w:space="0" w:color="000000"/>
            </w:tcBorders>
            <w:shd w:val="clear" w:color="auto" w:fill="FFFFFF"/>
            <w:tcMar>
              <w:top w:w="0" w:type="dxa"/>
              <w:left w:w="0" w:type="dxa"/>
              <w:bottom w:w="0" w:type="dxa"/>
              <w:right w:w="0" w:type="dxa"/>
            </w:tcMar>
            <w:vAlign w:val="center"/>
          </w:tcPr>
          <w:p w14:paraId="62DAB656" w14:textId="77777777" w:rsidR="00AD4A06" w:rsidRDefault="00634CB6">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b8</w:t>
            </w:r>
          </w:p>
        </w:tc>
        <w:tc>
          <w:tcPr>
            <w:tcW w:w="1080" w:type="dxa"/>
            <w:tcBorders>
              <w:top w:val="single" w:sz="6" w:space="0" w:color="000000"/>
              <w:left w:val="none" w:sz="0" w:space="0" w:color="000000"/>
              <w:bottom w:val="single" w:sz="6" w:space="0" w:color="000000"/>
              <w:right w:val="none" w:sz="0" w:space="0" w:color="000000"/>
            </w:tcBorders>
            <w:shd w:val="clear" w:color="auto" w:fill="FFFFFF"/>
            <w:tcMar>
              <w:top w:w="0" w:type="dxa"/>
              <w:left w:w="0" w:type="dxa"/>
              <w:bottom w:w="0" w:type="dxa"/>
              <w:right w:w="0" w:type="dxa"/>
            </w:tcMar>
            <w:vAlign w:val="center"/>
          </w:tcPr>
          <w:p w14:paraId="6DF2D2DB" w14:textId="77777777" w:rsidR="00AD4A06" w:rsidRDefault="00634CB6">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λ</w:t>
            </w:r>
          </w:p>
        </w:tc>
        <w:tc>
          <w:tcPr>
            <w:tcW w:w="1080" w:type="dxa"/>
            <w:tcBorders>
              <w:top w:val="single" w:sz="6" w:space="0" w:color="000000"/>
              <w:left w:val="none" w:sz="0" w:space="0" w:color="000000"/>
              <w:bottom w:val="single" w:sz="6" w:space="0" w:color="000000"/>
              <w:right w:val="none" w:sz="0" w:space="0" w:color="000000"/>
            </w:tcBorders>
            <w:shd w:val="clear" w:color="auto" w:fill="FFFFFF"/>
            <w:tcMar>
              <w:top w:w="0" w:type="dxa"/>
              <w:left w:w="0" w:type="dxa"/>
              <w:bottom w:w="0" w:type="dxa"/>
              <w:right w:w="0" w:type="dxa"/>
            </w:tcMar>
            <w:vAlign w:val="center"/>
          </w:tcPr>
          <w:p w14:paraId="243F1894" w14:textId="77777777" w:rsidR="00AD4A06" w:rsidRDefault="00634CB6">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h2</w:t>
            </w:r>
          </w:p>
        </w:tc>
      </w:tr>
      <w:tr w:rsidR="00AD4A06" w14:paraId="3C093C7C" w14:textId="77777777">
        <w:tc>
          <w:tcPr>
            <w:tcW w:w="1080" w:type="dxa"/>
            <w:tcBorders>
              <w:top w:val="single" w:sz="6"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103B77" w14:textId="77777777" w:rsidR="00AD4A06" w:rsidRDefault="00634CB6">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Q1</w:t>
            </w:r>
          </w:p>
        </w:tc>
        <w:tc>
          <w:tcPr>
            <w:tcW w:w="1080" w:type="dxa"/>
            <w:tcBorders>
              <w:top w:val="single" w:sz="6"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0961C7" w14:textId="77777777" w:rsidR="00AD4A06" w:rsidRDefault="00634CB6">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1.57</w:t>
            </w:r>
          </w:p>
        </w:tc>
        <w:tc>
          <w:tcPr>
            <w:tcW w:w="1080" w:type="dxa"/>
            <w:tcBorders>
              <w:top w:val="single" w:sz="6"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F20D15" w14:textId="77777777" w:rsidR="00AD4A06" w:rsidRDefault="00634CB6">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-1.08</w:t>
            </w:r>
          </w:p>
        </w:tc>
        <w:tc>
          <w:tcPr>
            <w:tcW w:w="1080" w:type="dxa"/>
            <w:tcBorders>
              <w:top w:val="single" w:sz="6"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588686" w14:textId="77777777" w:rsidR="00AD4A06" w:rsidRDefault="00634CB6">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-0.23</w:t>
            </w:r>
          </w:p>
        </w:tc>
        <w:tc>
          <w:tcPr>
            <w:tcW w:w="1080" w:type="dxa"/>
            <w:tcBorders>
              <w:top w:val="single" w:sz="6"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C18BAE" w14:textId="77777777" w:rsidR="00AD4A06" w:rsidRDefault="00634CB6">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0.48</w:t>
            </w:r>
          </w:p>
        </w:tc>
        <w:tc>
          <w:tcPr>
            <w:tcW w:w="1080" w:type="dxa"/>
            <w:tcBorders>
              <w:top w:val="single" w:sz="6"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BCAFDD" w14:textId="77777777" w:rsidR="00AD4A06" w:rsidRDefault="00634CB6">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0.78</w:t>
            </w:r>
          </w:p>
        </w:tc>
        <w:tc>
          <w:tcPr>
            <w:tcW w:w="1080" w:type="dxa"/>
            <w:tcBorders>
              <w:top w:val="single" w:sz="6"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F660DF" w14:textId="77777777" w:rsidR="00AD4A06" w:rsidRDefault="00634CB6">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1.21</w:t>
            </w:r>
          </w:p>
        </w:tc>
        <w:tc>
          <w:tcPr>
            <w:tcW w:w="1080" w:type="dxa"/>
            <w:tcBorders>
              <w:top w:val="single" w:sz="6"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21C917" w14:textId="77777777" w:rsidR="00AD4A06" w:rsidRDefault="00634CB6">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1.67</w:t>
            </w:r>
          </w:p>
        </w:tc>
        <w:tc>
          <w:tcPr>
            <w:tcW w:w="1080" w:type="dxa"/>
            <w:tcBorders>
              <w:top w:val="single" w:sz="6"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01769F" w14:textId="77777777" w:rsidR="00AD4A06" w:rsidRDefault="00634CB6">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2.41</w:t>
            </w:r>
          </w:p>
        </w:tc>
        <w:tc>
          <w:tcPr>
            <w:tcW w:w="1080" w:type="dxa"/>
            <w:tcBorders>
              <w:top w:val="single" w:sz="6"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515E71" w14:textId="77777777" w:rsidR="00AD4A06" w:rsidRDefault="00634CB6">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3.19</w:t>
            </w:r>
          </w:p>
        </w:tc>
        <w:tc>
          <w:tcPr>
            <w:tcW w:w="1080" w:type="dxa"/>
            <w:tcBorders>
              <w:top w:val="single" w:sz="6"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B7F302" w14:textId="77777777" w:rsidR="00AD4A06" w:rsidRDefault="00634CB6">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0.68</w:t>
            </w:r>
          </w:p>
        </w:tc>
        <w:tc>
          <w:tcPr>
            <w:tcW w:w="1080" w:type="dxa"/>
            <w:tcBorders>
              <w:top w:val="single" w:sz="6"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044031" w14:textId="77777777" w:rsidR="00AD4A06" w:rsidRDefault="00634CB6">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0.46</w:t>
            </w:r>
          </w:p>
        </w:tc>
      </w:tr>
      <w:tr w:rsidR="00AD4A06" w14:paraId="0D43025D" w14:textId="77777777">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5CD073" w14:textId="77777777" w:rsidR="00AD4A06" w:rsidRDefault="00634CB6">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Q2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BF4A23" w14:textId="77777777" w:rsidR="00AD4A06" w:rsidRDefault="00634CB6">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2.45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4E674F" w14:textId="77777777" w:rsidR="00AD4A06" w:rsidRDefault="00634CB6">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0.47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9FC81F" w14:textId="77777777" w:rsidR="00AD4A06" w:rsidRDefault="00634CB6">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0.94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3ADDE6" w14:textId="77777777" w:rsidR="00AD4A06" w:rsidRDefault="00634CB6">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1.19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09FA65" w14:textId="77777777" w:rsidR="00AD4A06" w:rsidRDefault="00634CB6">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1.33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5B1497" w14:textId="77777777" w:rsidR="00AD4A06" w:rsidRDefault="00634CB6">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1.58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9584FF" w14:textId="77777777" w:rsidR="00AD4A06" w:rsidRDefault="00634CB6">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1.86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9437EE" w14:textId="77777777" w:rsidR="00AD4A06" w:rsidRDefault="00634CB6">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2.14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B488A3" w14:textId="77777777" w:rsidR="00AD4A06" w:rsidRDefault="00634CB6">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2.47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8BDB7B" w14:textId="77777777" w:rsidR="00AD4A06" w:rsidRDefault="00634CB6">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0.82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D65510" w14:textId="77777777" w:rsidR="00AD4A06" w:rsidRDefault="00634CB6">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0.67</w:t>
            </w:r>
          </w:p>
        </w:tc>
      </w:tr>
      <w:tr w:rsidR="00AD4A06" w14:paraId="44CD9455" w14:textId="77777777">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8F9DAC" w14:textId="77777777" w:rsidR="00AD4A06" w:rsidRDefault="00634CB6">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Q3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D7C5CF" w14:textId="77777777" w:rsidR="00AD4A06" w:rsidRDefault="00634CB6">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3.04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8B33C6" w14:textId="77777777" w:rsidR="00AD4A06" w:rsidRDefault="00634CB6">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0.03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73A893" w14:textId="77777777" w:rsidR="00AD4A06" w:rsidRDefault="00634CB6">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0.50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53786E" w14:textId="77777777" w:rsidR="00AD4A06" w:rsidRDefault="00634CB6">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0.74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D9AFFD" w14:textId="77777777" w:rsidR="00AD4A06" w:rsidRDefault="00634CB6">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0.87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0ACB3A" w14:textId="77777777" w:rsidR="00AD4A06" w:rsidRDefault="00634CB6">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1.04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5315C0" w14:textId="77777777" w:rsidR="00AD4A06" w:rsidRDefault="00634CB6">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1.30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A514A2" w14:textId="77777777" w:rsidR="00AD4A06" w:rsidRDefault="00634CB6">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1.54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53AEE6" w14:textId="77777777" w:rsidR="00AD4A06" w:rsidRDefault="00634CB6">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1.85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99BAC9" w14:textId="77777777" w:rsidR="00AD4A06" w:rsidRDefault="00634CB6">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0.87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7F4245" w14:textId="77777777" w:rsidR="00AD4A06" w:rsidRDefault="00634CB6">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0.76</w:t>
            </w:r>
          </w:p>
        </w:tc>
      </w:tr>
      <w:tr w:rsidR="00AD4A06" w14:paraId="2ABE300C" w14:textId="77777777">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113BC0" w14:textId="77777777" w:rsidR="00AD4A06" w:rsidRDefault="00634CB6">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Q4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77FDC2" w14:textId="77777777" w:rsidR="00AD4A06" w:rsidRDefault="00634CB6">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-2.50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D68967" w14:textId="77777777" w:rsidR="00AD4A06" w:rsidRDefault="00634CB6">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2.10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F6E952" w14:textId="77777777" w:rsidR="00AD4A06" w:rsidRDefault="00634CB6">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1.82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0D3E9A" w14:textId="77777777" w:rsidR="00AD4A06" w:rsidRDefault="00634CB6">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1.53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AB486B" w14:textId="77777777" w:rsidR="00AD4A06" w:rsidRDefault="00634CB6">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1.30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14B5B5" w14:textId="77777777" w:rsidR="00AD4A06" w:rsidRDefault="00634CB6">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1.08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3764BA" w14:textId="77777777" w:rsidR="00AD4A06" w:rsidRDefault="00634CB6">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0.98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938493" w14:textId="77777777" w:rsidR="00AD4A06" w:rsidRDefault="00634CB6">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0.74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8AF035" w14:textId="77777777" w:rsidR="00AD4A06" w:rsidRDefault="00634CB6">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0.22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70A27C" w14:textId="77777777" w:rsidR="00AD4A06" w:rsidRDefault="00634CB6">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-0.83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203A64" w14:textId="77777777" w:rsidR="00AD4A06" w:rsidRDefault="00634CB6">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0.68</w:t>
            </w:r>
          </w:p>
        </w:tc>
      </w:tr>
      <w:tr w:rsidR="00AD4A06" w14:paraId="51FDC81B" w14:textId="77777777">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30C48B" w14:textId="77777777" w:rsidR="00AD4A06" w:rsidRDefault="00634CB6">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Q5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6255B7" w14:textId="77777777" w:rsidR="00AD4A06" w:rsidRDefault="00634CB6">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1.92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3A7656" w14:textId="77777777" w:rsidR="00AD4A06" w:rsidRDefault="00634CB6">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-0.62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21D71C" w14:textId="77777777" w:rsidR="00AD4A06" w:rsidRDefault="00634CB6">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0.13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CFBFCC" w14:textId="77777777" w:rsidR="00AD4A06" w:rsidRDefault="00634CB6">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0.68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341C36" w14:textId="77777777" w:rsidR="00AD4A06" w:rsidRDefault="00634CB6">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1.01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957BA8" w14:textId="77777777" w:rsidR="00AD4A06" w:rsidRDefault="00634CB6">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1.38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326D38" w14:textId="77777777" w:rsidR="00AD4A06" w:rsidRDefault="00634CB6">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1.82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B0FE73" w14:textId="77777777" w:rsidR="00AD4A06" w:rsidRDefault="00634CB6">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2.30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5376C1" w14:textId="77777777" w:rsidR="00AD4A06" w:rsidRDefault="00634CB6">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2.90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4D263E" w14:textId="77777777" w:rsidR="00AD4A06" w:rsidRDefault="00634CB6">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0.75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88A2F6" w14:textId="77777777" w:rsidR="00AD4A06" w:rsidRDefault="00634CB6">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0.56</w:t>
            </w:r>
          </w:p>
        </w:tc>
      </w:tr>
      <w:tr w:rsidR="00AD4A06" w14:paraId="51D41A27" w14:textId="77777777">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DDC105" w14:textId="77777777" w:rsidR="00AD4A06" w:rsidRDefault="00634CB6">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Q6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B03170" w14:textId="77777777" w:rsidR="00AD4A06" w:rsidRDefault="00634CB6">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-1.92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5E062A" w14:textId="77777777" w:rsidR="00AD4A06" w:rsidRDefault="00634CB6">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2.52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5F26C2" w14:textId="77777777" w:rsidR="00AD4A06" w:rsidRDefault="00634CB6">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2.13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50F545" w14:textId="77777777" w:rsidR="00AD4A06" w:rsidRDefault="00634CB6">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1.81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C3E87B" w14:textId="77777777" w:rsidR="00AD4A06" w:rsidRDefault="00634CB6">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1.53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1D366B" w14:textId="77777777" w:rsidR="00AD4A06" w:rsidRDefault="00634CB6">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1.17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B30EA2" w14:textId="77777777" w:rsidR="00AD4A06" w:rsidRDefault="00634CB6">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0.98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BD9EAF" w14:textId="77777777" w:rsidR="00AD4A06" w:rsidRDefault="00634CB6">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0.62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719E54" w14:textId="77777777" w:rsidR="00AD4A06" w:rsidRDefault="00634CB6">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0.05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66B8F5" w14:textId="77777777" w:rsidR="00AD4A06" w:rsidRDefault="00634CB6">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-0.75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930819" w14:textId="77777777" w:rsidR="00AD4A06" w:rsidRDefault="00634CB6">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0.56</w:t>
            </w:r>
          </w:p>
        </w:tc>
      </w:tr>
      <w:tr w:rsidR="00AD4A06" w14:paraId="5BE59084" w14:textId="77777777">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AED915" w14:textId="77777777" w:rsidR="00AD4A06" w:rsidRDefault="00634CB6">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Q7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0AAC93" w14:textId="77777777" w:rsidR="00AD4A06" w:rsidRDefault="00634CB6">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3.32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49D8DC" w14:textId="77777777" w:rsidR="00AD4A06" w:rsidRDefault="00634CB6">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-0.14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BFED2A" w14:textId="77777777" w:rsidR="00AD4A06" w:rsidRDefault="00634CB6">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0.38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F41A11" w14:textId="77777777" w:rsidR="00AD4A06" w:rsidRDefault="00634CB6">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0.66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37CB70" w14:textId="77777777" w:rsidR="00AD4A06" w:rsidRDefault="00634CB6">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0.84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467105" w14:textId="77777777" w:rsidR="00AD4A06" w:rsidRDefault="00634CB6">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0.97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3E1CC5" w14:textId="77777777" w:rsidR="00AD4A06" w:rsidRDefault="00634CB6">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1.23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F9DAA1" w14:textId="77777777" w:rsidR="00AD4A06" w:rsidRDefault="00634CB6">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1.51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AE4834" w14:textId="77777777" w:rsidR="00AD4A06" w:rsidRDefault="00634CB6">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1.83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B18438" w14:textId="77777777" w:rsidR="00AD4A06" w:rsidRDefault="00634CB6">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0.89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6CE23C" w14:textId="77777777" w:rsidR="00AD4A06" w:rsidRDefault="00634CB6">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0.79</w:t>
            </w:r>
          </w:p>
        </w:tc>
      </w:tr>
      <w:tr w:rsidR="00AD4A06" w14:paraId="43AAA509" w14:textId="77777777">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056B44" w14:textId="77777777" w:rsidR="00AD4A06" w:rsidRDefault="00634CB6">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Q8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93A2F5" w14:textId="77777777" w:rsidR="00AD4A06" w:rsidRDefault="00634CB6">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-1.58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B9A0DA" w14:textId="77777777" w:rsidR="00AD4A06" w:rsidRDefault="00634CB6">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2.44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09C656" w14:textId="77777777" w:rsidR="00AD4A06" w:rsidRDefault="00634CB6">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2.04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8BE7A5" w14:textId="77777777" w:rsidR="00AD4A06" w:rsidRDefault="00634CB6">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1.64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0317D8" w14:textId="77777777" w:rsidR="00AD4A06" w:rsidRDefault="00634CB6">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1.28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71B415" w14:textId="77777777" w:rsidR="00AD4A06" w:rsidRDefault="00634CB6">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0.70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0F3D06" w14:textId="77777777" w:rsidR="00AD4A06" w:rsidRDefault="00634CB6">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0.47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086995" w14:textId="77777777" w:rsidR="00AD4A06" w:rsidRDefault="00634CB6">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-0.06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B31391" w14:textId="77777777" w:rsidR="00AD4A06" w:rsidRDefault="00634CB6">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-0.74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72A16C" w14:textId="77777777" w:rsidR="00AD4A06" w:rsidRDefault="00634CB6">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-0.68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3D26B9" w14:textId="77777777" w:rsidR="00AD4A06" w:rsidRDefault="00634CB6">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0.46</w:t>
            </w:r>
          </w:p>
        </w:tc>
      </w:tr>
      <w:tr w:rsidR="00AD4A06" w14:paraId="3F294F19" w14:textId="77777777">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4E00EC" w14:textId="77777777" w:rsidR="00AD4A06" w:rsidRDefault="00634CB6">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Q9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BF32ED" w14:textId="77777777" w:rsidR="00AD4A06" w:rsidRDefault="00634CB6">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-1.89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4473FA" w14:textId="77777777" w:rsidR="00AD4A06" w:rsidRDefault="00634CB6">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2.74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01392D" w14:textId="77777777" w:rsidR="00AD4A06" w:rsidRDefault="00634CB6">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2.37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C626BE" w14:textId="77777777" w:rsidR="00AD4A06" w:rsidRDefault="00634CB6">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2.08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9C934D" w14:textId="77777777" w:rsidR="00AD4A06" w:rsidRDefault="00634CB6">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1.83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739AA4" w14:textId="77777777" w:rsidR="00AD4A06" w:rsidRDefault="00634CB6">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1.54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7A6654" w14:textId="77777777" w:rsidR="00AD4A06" w:rsidRDefault="00634CB6">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1.07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5A8A37" w14:textId="77777777" w:rsidR="00AD4A06" w:rsidRDefault="00634CB6">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0.54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CA4282" w14:textId="77777777" w:rsidR="00AD4A06" w:rsidRDefault="00634CB6">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-0.23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2423E3" w14:textId="77777777" w:rsidR="00AD4A06" w:rsidRDefault="00634CB6">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-0.74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210C4D" w14:textId="77777777" w:rsidR="00AD4A06" w:rsidRDefault="00634CB6">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0.55</w:t>
            </w:r>
          </w:p>
        </w:tc>
      </w:tr>
      <w:tr w:rsidR="00AD4A06" w14:paraId="43717DDE" w14:textId="77777777">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719F40" w14:textId="77777777" w:rsidR="00AD4A06" w:rsidRDefault="00634CB6">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Q10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A63200" w14:textId="77777777" w:rsidR="00AD4A06" w:rsidRDefault="00634CB6">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3.30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4A9D26" w14:textId="77777777" w:rsidR="00AD4A06" w:rsidRDefault="00634CB6">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-0.30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1ECCAA" w14:textId="77777777" w:rsidR="00AD4A06" w:rsidRDefault="00634CB6">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0.20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029F4E" w14:textId="77777777" w:rsidR="00AD4A06" w:rsidRDefault="00634CB6">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0.47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6E7CE9" w14:textId="77777777" w:rsidR="00AD4A06" w:rsidRDefault="00634CB6">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0.63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2E5AD3" w14:textId="77777777" w:rsidR="00AD4A06" w:rsidRDefault="00634CB6">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0.82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70046B" w14:textId="77777777" w:rsidR="00AD4A06" w:rsidRDefault="00634CB6">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1.13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9095" w14:textId="77777777" w:rsidR="00AD4A06" w:rsidRDefault="00634CB6">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1.40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FA524C" w14:textId="77777777" w:rsidR="00AD4A06" w:rsidRDefault="00634CB6">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1.75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5F905F" w14:textId="77777777" w:rsidR="00AD4A06" w:rsidRDefault="00634CB6">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0.89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E2C929" w14:textId="77777777" w:rsidR="00AD4A06" w:rsidRDefault="00634CB6">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0.79</w:t>
            </w:r>
          </w:p>
        </w:tc>
      </w:tr>
      <w:tr w:rsidR="00AD4A06" w14:paraId="7C30A8D1" w14:textId="77777777">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F7EE08" w14:textId="77777777" w:rsidR="00AD4A06" w:rsidRDefault="00634CB6">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Q11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D55F90" w14:textId="77777777" w:rsidR="00AD4A06" w:rsidRDefault="00634CB6">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-2.03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3E7EA1" w14:textId="77777777" w:rsidR="00AD4A06" w:rsidRDefault="00634CB6">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2.74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15525F" w14:textId="77777777" w:rsidR="00AD4A06" w:rsidRDefault="00634CB6">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2.35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FFB469" w14:textId="77777777" w:rsidR="00AD4A06" w:rsidRDefault="00634CB6">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1.99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4CEFDF" w14:textId="77777777" w:rsidR="00AD4A06" w:rsidRDefault="00634CB6">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1.71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E9EE82" w14:textId="77777777" w:rsidR="00AD4A06" w:rsidRDefault="00634CB6">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1.42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E5FC1A" w14:textId="77777777" w:rsidR="00AD4A06" w:rsidRDefault="00634CB6">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1.13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2BD565" w14:textId="77777777" w:rsidR="00AD4A06" w:rsidRDefault="00634CB6">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0.69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C3F65E" w14:textId="77777777" w:rsidR="00AD4A06" w:rsidRDefault="00634CB6">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0.04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015916" w14:textId="77777777" w:rsidR="00AD4A06" w:rsidRDefault="00634CB6">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-0.77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AB0E0D" w14:textId="77777777" w:rsidR="00AD4A06" w:rsidRDefault="00634CB6">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0.59</w:t>
            </w:r>
          </w:p>
        </w:tc>
      </w:tr>
      <w:tr w:rsidR="00AD4A06" w14:paraId="39161B2E" w14:textId="77777777">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ACBB42" w14:textId="77777777" w:rsidR="00AD4A06" w:rsidRDefault="00634CB6">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Q12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C28AD6" w14:textId="77777777" w:rsidR="00AD4A06" w:rsidRDefault="00634CB6">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2.61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4A66EC" w14:textId="77777777" w:rsidR="00AD4A06" w:rsidRDefault="00634CB6">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-0.77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D8BEB0" w14:textId="77777777" w:rsidR="00AD4A06" w:rsidRDefault="00634CB6">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-0.20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EF2E85" w14:textId="77777777" w:rsidR="00AD4A06" w:rsidRDefault="00634CB6">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0.25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A36209" w14:textId="77777777" w:rsidR="00AD4A06" w:rsidRDefault="00634CB6">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0.46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683A92" w14:textId="77777777" w:rsidR="00AD4A06" w:rsidRDefault="00634CB6">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0.79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AD23D2" w14:textId="77777777" w:rsidR="00AD4A06" w:rsidRDefault="00634CB6">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1.19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FF8695" w14:textId="77777777" w:rsidR="00AD4A06" w:rsidRDefault="00634CB6">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1.60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CCC9CC" w14:textId="77777777" w:rsidR="00AD4A06" w:rsidRDefault="00634CB6">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2.02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AC54D9" w14:textId="77777777" w:rsidR="00AD4A06" w:rsidRDefault="00634CB6">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0.84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CE1FA8" w14:textId="77777777" w:rsidR="00AD4A06" w:rsidRDefault="00634CB6">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0.70</w:t>
            </w:r>
          </w:p>
        </w:tc>
      </w:tr>
      <w:tr w:rsidR="00AD4A06" w14:paraId="55537D05" w14:textId="77777777">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0C491F" w14:textId="77777777" w:rsidR="00AD4A06" w:rsidRDefault="00634CB6">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Q13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1BD332" w14:textId="77777777" w:rsidR="00AD4A06" w:rsidRDefault="00634CB6">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-2.60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89EBF8" w14:textId="77777777" w:rsidR="00AD4A06" w:rsidRDefault="00634CB6">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1.89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D919D6" w14:textId="77777777" w:rsidR="00AD4A06" w:rsidRDefault="00634CB6">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1.58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212DD6" w14:textId="77777777" w:rsidR="00AD4A06" w:rsidRDefault="00634CB6">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1.35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F93770" w14:textId="77777777" w:rsidR="00AD4A06" w:rsidRDefault="00634CB6">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1.16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29471E" w14:textId="77777777" w:rsidR="00AD4A06" w:rsidRDefault="00634CB6">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0.91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1CD64E" w14:textId="77777777" w:rsidR="00AD4A06" w:rsidRDefault="00634CB6">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0.65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7EBF29" w14:textId="77777777" w:rsidR="00AD4A06" w:rsidRDefault="00634CB6">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0.29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1706AF" w14:textId="77777777" w:rsidR="00AD4A06" w:rsidRDefault="00634CB6">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-0.31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277A49" w14:textId="77777777" w:rsidR="00AD4A06" w:rsidRDefault="00634CB6">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-0.84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9B2C64" w14:textId="77777777" w:rsidR="00AD4A06" w:rsidRDefault="00634CB6">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0.70</w:t>
            </w:r>
          </w:p>
        </w:tc>
      </w:tr>
      <w:tr w:rsidR="00AD4A06" w14:paraId="660F51E4" w14:textId="77777777">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7933EF" w14:textId="77777777" w:rsidR="00AD4A06" w:rsidRDefault="00634CB6">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Q14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089B45" w14:textId="77777777" w:rsidR="00AD4A06" w:rsidRDefault="00634CB6">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2.30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FC5C00" w14:textId="77777777" w:rsidR="00AD4A06" w:rsidRDefault="00634CB6">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-0.46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5C4A3A" w14:textId="77777777" w:rsidR="00AD4A06" w:rsidRDefault="00634CB6">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0.04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6BFC9D" w14:textId="77777777" w:rsidR="00AD4A06" w:rsidRDefault="00634CB6">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0.32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B189EB" w14:textId="77777777" w:rsidR="00AD4A06" w:rsidRDefault="00634CB6">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0.47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BA5B92" w14:textId="77777777" w:rsidR="00AD4A06" w:rsidRDefault="00634CB6">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0.75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34D9F0" w14:textId="77777777" w:rsidR="00AD4A06" w:rsidRDefault="00634CB6">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1.09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65ED97" w14:textId="77777777" w:rsidR="00AD4A06" w:rsidRDefault="00634CB6">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1.42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08C7EE" w14:textId="77777777" w:rsidR="00AD4A06" w:rsidRDefault="00634CB6">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1.79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7BE13B" w14:textId="77777777" w:rsidR="00AD4A06" w:rsidRDefault="00634CB6">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0.80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1BA712" w14:textId="77777777" w:rsidR="00AD4A06" w:rsidRDefault="00634CB6">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0.65</w:t>
            </w:r>
          </w:p>
        </w:tc>
      </w:tr>
      <w:tr w:rsidR="00AD4A06" w14:paraId="6EC5BD9C" w14:textId="77777777">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39666A" w14:textId="77777777" w:rsidR="00AD4A06" w:rsidRDefault="00634CB6">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Q15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92F51D" w14:textId="77777777" w:rsidR="00AD4A06" w:rsidRDefault="00634CB6">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-2.32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69C7F4" w14:textId="77777777" w:rsidR="00AD4A06" w:rsidRDefault="00634CB6">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2.21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6009A6" w14:textId="77777777" w:rsidR="00AD4A06" w:rsidRDefault="00634CB6">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1.77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191D63" w14:textId="77777777" w:rsidR="00AD4A06" w:rsidRDefault="00634CB6">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1.44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472142" w14:textId="77777777" w:rsidR="00AD4A06" w:rsidRDefault="00634CB6">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1.19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51F2DF" w14:textId="77777777" w:rsidR="00AD4A06" w:rsidRDefault="00634CB6">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0.87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DF7830" w14:textId="77777777" w:rsidR="00AD4A06" w:rsidRDefault="00634CB6">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0.50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8DED9F" w14:textId="77777777" w:rsidR="00AD4A06" w:rsidRDefault="00634CB6">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0.04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F66EE6" w14:textId="77777777" w:rsidR="00AD4A06" w:rsidRDefault="00634CB6">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-0.62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E8A5A6" w14:textId="77777777" w:rsidR="00AD4A06" w:rsidRDefault="00634CB6">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-0.81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41DA1B" w14:textId="77777777" w:rsidR="00AD4A06" w:rsidRDefault="00634CB6">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0.65</w:t>
            </w:r>
          </w:p>
        </w:tc>
      </w:tr>
      <w:tr w:rsidR="00AD4A06" w14:paraId="04999FBA" w14:textId="77777777">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C45A2A" w14:textId="77777777" w:rsidR="00AD4A06" w:rsidRDefault="00634CB6">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Q16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E173E2" w14:textId="77777777" w:rsidR="00AD4A06" w:rsidRDefault="00634CB6">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2.59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ECE8CD" w14:textId="77777777" w:rsidR="00AD4A06" w:rsidRDefault="00634CB6">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0.43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DADC90" w14:textId="77777777" w:rsidR="00AD4A06" w:rsidRDefault="00634CB6">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0.85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4D1631" w14:textId="77777777" w:rsidR="00AD4A06" w:rsidRDefault="00634CB6">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1.13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25D4E6" w14:textId="77777777" w:rsidR="00AD4A06" w:rsidRDefault="00634CB6">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1.30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0BFA15" w14:textId="77777777" w:rsidR="00AD4A06" w:rsidRDefault="00634CB6">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1.54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157323" w14:textId="77777777" w:rsidR="00AD4A06" w:rsidRDefault="00634CB6">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1.82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2A0B0E" w14:textId="77777777" w:rsidR="00AD4A06" w:rsidRDefault="00634CB6">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2.11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0487E0" w14:textId="77777777" w:rsidR="00AD4A06" w:rsidRDefault="00634CB6">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2.42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D32BEA" w14:textId="77777777" w:rsidR="00AD4A06" w:rsidRDefault="00634CB6">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0.84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FEB713" w14:textId="77777777" w:rsidR="00AD4A06" w:rsidRDefault="00634CB6">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0.70</w:t>
            </w:r>
          </w:p>
        </w:tc>
      </w:tr>
      <w:tr w:rsidR="00AD4A06" w14:paraId="215374AE" w14:textId="77777777">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F3C234" w14:textId="77777777" w:rsidR="00AD4A06" w:rsidRDefault="00634CB6">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lastRenderedPageBreak/>
              <w:t>Q17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FC87DB" w14:textId="77777777" w:rsidR="00AD4A06" w:rsidRDefault="00634CB6">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2.56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DEE0D4" w14:textId="77777777" w:rsidR="00AD4A06" w:rsidRDefault="00634CB6">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-0.15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B67DC8" w14:textId="77777777" w:rsidR="00AD4A06" w:rsidRDefault="00634CB6">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0.35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83789A" w14:textId="77777777" w:rsidR="00AD4A06" w:rsidRDefault="00634CB6">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0.61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109DA4" w14:textId="77777777" w:rsidR="00AD4A06" w:rsidRDefault="00634CB6">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0.77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B99E8C" w14:textId="77777777" w:rsidR="00AD4A06" w:rsidRDefault="00634CB6">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1.00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18A18A" w14:textId="77777777" w:rsidR="00AD4A06" w:rsidRDefault="00634CB6">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1.35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91355D" w14:textId="77777777" w:rsidR="00AD4A06" w:rsidRDefault="00634CB6">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1.66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DB694C" w14:textId="77777777" w:rsidR="00AD4A06" w:rsidRDefault="00634CB6">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2.01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FDB250" w14:textId="77777777" w:rsidR="00AD4A06" w:rsidRDefault="00634CB6">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0.83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6DAA2D" w14:textId="77777777" w:rsidR="00AD4A06" w:rsidRDefault="00634CB6">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0.69</w:t>
            </w:r>
          </w:p>
        </w:tc>
      </w:tr>
      <w:tr w:rsidR="00AD4A06" w14:paraId="3EA0635A" w14:textId="77777777">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26D6E1" w14:textId="77777777" w:rsidR="00AD4A06" w:rsidRDefault="00634CB6">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Q18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366651" w14:textId="77777777" w:rsidR="00AD4A06" w:rsidRDefault="00634CB6">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-2.32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88E9ED" w14:textId="77777777" w:rsidR="00AD4A06" w:rsidRDefault="00634CB6">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2.45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107665" w14:textId="77777777" w:rsidR="00AD4A06" w:rsidRDefault="00634CB6">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2.14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0BB478" w14:textId="77777777" w:rsidR="00AD4A06" w:rsidRDefault="00634CB6">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1.87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4AFC16" w14:textId="77777777" w:rsidR="00AD4A06" w:rsidRDefault="00634CB6">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1.61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666356" w14:textId="77777777" w:rsidR="00AD4A06" w:rsidRDefault="00634CB6">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1.44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CD82AF" w14:textId="77777777" w:rsidR="00AD4A06" w:rsidRDefault="00634CB6">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1.26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53AA1B" w14:textId="77777777" w:rsidR="00AD4A06" w:rsidRDefault="00634CB6">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0.98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10A6C0" w14:textId="77777777" w:rsidR="00AD4A06" w:rsidRDefault="00634CB6">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0.40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E1D5C6" w14:textId="77777777" w:rsidR="00AD4A06" w:rsidRDefault="00634CB6">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-0.81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C0BFC3" w14:textId="77777777" w:rsidR="00AD4A06" w:rsidRDefault="00634CB6">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0.65</w:t>
            </w:r>
          </w:p>
        </w:tc>
      </w:tr>
      <w:tr w:rsidR="00AD4A06" w14:paraId="68C7B822" w14:textId="77777777">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A19E73" w14:textId="77777777" w:rsidR="00AD4A06" w:rsidRDefault="00634CB6">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Q19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DB914E" w14:textId="77777777" w:rsidR="00AD4A06" w:rsidRDefault="00634CB6">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3.14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6DD056" w14:textId="77777777" w:rsidR="00AD4A06" w:rsidRDefault="00634CB6">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-0.24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391C63" w14:textId="77777777" w:rsidR="00AD4A06" w:rsidRDefault="00634CB6">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0.32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C34450" w14:textId="77777777" w:rsidR="00AD4A06" w:rsidRDefault="00634CB6">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0.67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FC6BE9" w14:textId="77777777" w:rsidR="00AD4A06" w:rsidRDefault="00634CB6">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0.90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BA0C7F" w14:textId="77777777" w:rsidR="00AD4A06" w:rsidRDefault="00634CB6">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1.12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8CA4C4" w14:textId="77777777" w:rsidR="00AD4A06" w:rsidRDefault="00634CB6">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1.48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06C110" w14:textId="77777777" w:rsidR="00AD4A06" w:rsidRDefault="00634CB6">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1.78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9B499C" w14:textId="77777777" w:rsidR="00AD4A06" w:rsidRDefault="00634CB6">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2.11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84ABC5" w14:textId="77777777" w:rsidR="00AD4A06" w:rsidRDefault="00634CB6">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0.88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00768A" w14:textId="77777777" w:rsidR="00AD4A06" w:rsidRDefault="00634CB6">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0.77</w:t>
            </w:r>
          </w:p>
        </w:tc>
      </w:tr>
      <w:tr w:rsidR="00AD4A06" w14:paraId="2BF76993" w14:textId="77777777">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51C99C" w14:textId="77777777" w:rsidR="00AD4A06" w:rsidRDefault="00634CB6">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Q20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8D82BC" w14:textId="77777777" w:rsidR="00AD4A06" w:rsidRDefault="00634CB6">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-1.75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0B4087" w14:textId="77777777" w:rsidR="00AD4A06" w:rsidRDefault="00634CB6">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2.89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8EE0BF" w14:textId="77777777" w:rsidR="00AD4A06" w:rsidRDefault="00634CB6">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2.46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7BD65D" w14:textId="77777777" w:rsidR="00AD4A06" w:rsidRDefault="00634CB6">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2.07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5F8E13" w14:textId="77777777" w:rsidR="00AD4A06" w:rsidRDefault="00634CB6">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1.74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CB0027" w14:textId="77777777" w:rsidR="00AD4A06" w:rsidRDefault="00634CB6">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1.52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453C44" w14:textId="77777777" w:rsidR="00AD4A06" w:rsidRDefault="00634CB6">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1.14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8C55EE" w14:textId="77777777" w:rsidR="00AD4A06" w:rsidRDefault="00634CB6">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0.61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F9C688" w14:textId="77777777" w:rsidR="00AD4A06" w:rsidRDefault="00634CB6">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-0.14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E4CB71" w14:textId="77777777" w:rsidR="00AD4A06" w:rsidRDefault="00634CB6">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-0.72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328909" w14:textId="77777777" w:rsidR="00AD4A06" w:rsidRDefault="00634CB6">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0.51</w:t>
            </w:r>
          </w:p>
        </w:tc>
      </w:tr>
      <w:tr w:rsidR="00AD4A06" w14:paraId="7546671F" w14:textId="77777777">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D8F4BF" w14:textId="77777777" w:rsidR="00AD4A06" w:rsidRDefault="00634CB6">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Q21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108346" w14:textId="77777777" w:rsidR="00AD4A06" w:rsidRDefault="00634CB6">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-2.31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E3CE0F" w14:textId="77777777" w:rsidR="00AD4A06" w:rsidRDefault="00634CB6">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1.61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B57EC4" w14:textId="77777777" w:rsidR="00AD4A06" w:rsidRDefault="00634CB6">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1.32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1E0529" w14:textId="77777777" w:rsidR="00AD4A06" w:rsidRDefault="00634CB6">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1.09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1CDCD2" w14:textId="77777777" w:rsidR="00AD4A06" w:rsidRDefault="00634CB6">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0.85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09D6D" w14:textId="77777777" w:rsidR="00AD4A06" w:rsidRDefault="00634CB6">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0.43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E30064" w14:textId="77777777" w:rsidR="00AD4A06" w:rsidRDefault="00634CB6">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0.17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EC6DC4" w14:textId="77777777" w:rsidR="00AD4A06" w:rsidRDefault="00634CB6">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-0.19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C04E36" w14:textId="77777777" w:rsidR="00AD4A06" w:rsidRDefault="00634CB6">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-0.69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931047" w14:textId="77777777" w:rsidR="00AD4A06" w:rsidRDefault="00634CB6">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-0.81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B6373C" w14:textId="77777777" w:rsidR="00AD4A06" w:rsidRDefault="00634CB6">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0.65</w:t>
            </w:r>
          </w:p>
        </w:tc>
      </w:tr>
      <w:tr w:rsidR="00AD4A06" w14:paraId="62EB6B48" w14:textId="77777777">
        <w:tc>
          <w:tcPr>
            <w:tcW w:w="1080" w:type="dxa"/>
            <w:tcBorders>
              <w:top w:val="none" w:sz="0" w:space="0" w:color="000000"/>
              <w:left w:val="none" w:sz="0" w:space="0" w:color="000000"/>
              <w:bottom w:val="single" w:sz="6" w:space="0" w:color="000000"/>
              <w:right w:val="none" w:sz="0" w:space="0" w:color="000000"/>
            </w:tcBorders>
            <w:shd w:val="clear" w:color="auto" w:fill="FFFFFF"/>
            <w:tcMar>
              <w:top w:w="0" w:type="dxa"/>
              <w:left w:w="0" w:type="dxa"/>
              <w:bottom w:w="0" w:type="dxa"/>
              <w:right w:w="0" w:type="dxa"/>
            </w:tcMar>
            <w:vAlign w:val="center"/>
          </w:tcPr>
          <w:p w14:paraId="4251FE97" w14:textId="77777777" w:rsidR="00AD4A06" w:rsidRDefault="00634CB6">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Q22</w:t>
            </w:r>
          </w:p>
        </w:tc>
        <w:tc>
          <w:tcPr>
            <w:tcW w:w="1080" w:type="dxa"/>
            <w:tcBorders>
              <w:top w:val="none" w:sz="0" w:space="0" w:color="000000"/>
              <w:left w:val="none" w:sz="0" w:space="0" w:color="000000"/>
              <w:bottom w:val="single" w:sz="6" w:space="0" w:color="000000"/>
              <w:right w:val="none" w:sz="0" w:space="0" w:color="000000"/>
            </w:tcBorders>
            <w:shd w:val="clear" w:color="auto" w:fill="FFFFFF"/>
            <w:tcMar>
              <w:top w:w="0" w:type="dxa"/>
              <w:left w:w="0" w:type="dxa"/>
              <w:bottom w:w="0" w:type="dxa"/>
              <w:right w:w="0" w:type="dxa"/>
            </w:tcMar>
            <w:vAlign w:val="center"/>
          </w:tcPr>
          <w:p w14:paraId="3A62DDA3" w14:textId="77777777" w:rsidR="00AD4A06" w:rsidRDefault="00634CB6">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3.07</w:t>
            </w:r>
          </w:p>
        </w:tc>
        <w:tc>
          <w:tcPr>
            <w:tcW w:w="1080" w:type="dxa"/>
            <w:tcBorders>
              <w:top w:val="none" w:sz="0" w:space="0" w:color="000000"/>
              <w:left w:val="none" w:sz="0" w:space="0" w:color="000000"/>
              <w:bottom w:val="single" w:sz="6" w:space="0" w:color="000000"/>
              <w:right w:val="none" w:sz="0" w:space="0" w:color="000000"/>
            </w:tcBorders>
            <w:shd w:val="clear" w:color="auto" w:fill="FFFFFF"/>
            <w:tcMar>
              <w:top w:w="0" w:type="dxa"/>
              <w:left w:w="0" w:type="dxa"/>
              <w:bottom w:w="0" w:type="dxa"/>
              <w:right w:w="0" w:type="dxa"/>
            </w:tcMar>
            <w:vAlign w:val="center"/>
          </w:tcPr>
          <w:p w14:paraId="0E90274A" w14:textId="77777777" w:rsidR="00AD4A06" w:rsidRDefault="00634CB6">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-0.16</w:t>
            </w:r>
          </w:p>
        </w:tc>
        <w:tc>
          <w:tcPr>
            <w:tcW w:w="1080" w:type="dxa"/>
            <w:tcBorders>
              <w:top w:val="none" w:sz="0" w:space="0" w:color="000000"/>
              <w:left w:val="none" w:sz="0" w:space="0" w:color="000000"/>
              <w:bottom w:val="single" w:sz="6" w:space="0" w:color="000000"/>
              <w:right w:val="none" w:sz="0" w:space="0" w:color="000000"/>
            </w:tcBorders>
            <w:shd w:val="clear" w:color="auto" w:fill="FFFFFF"/>
            <w:tcMar>
              <w:top w:w="0" w:type="dxa"/>
              <w:left w:w="0" w:type="dxa"/>
              <w:bottom w:w="0" w:type="dxa"/>
              <w:right w:w="0" w:type="dxa"/>
            </w:tcMar>
            <w:vAlign w:val="center"/>
          </w:tcPr>
          <w:p w14:paraId="492EE397" w14:textId="77777777" w:rsidR="00AD4A06" w:rsidRDefault="00634CB6">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0.35</w:t>
            </w:r>
          </w:p>
        </w:tc>
        <w:tc>
          <w:tcPr>
            <w:tcW w:w="1080" w:type="dxa"/>
            <w:tcBorders>
              <w:top w:val="none" w:sz="0" w:space="0" w:color="000000"/>
              <w:left w:val="none" w:sz="0" w:space="0" w:color="000000"/>
              <w:bottom w:val="single" w:sz="6" w:space="0" w:color="000000"/>
              <w:right w:val="none" w:sz="0" w:space="0" w:color="000000"/>
            </w:tcBorders>
            <w:shd w:val="clear" w:color="auto" w:fill="FFFFFF"/>
            <w:tcMar>
              <w:top w:w="0" w:type="dxa"/>
              <w:left w:w="0" w:type="dxa"/>
              <w:bottom w:w="0" w:type="dxa"/>
              <w:right w:w="0" w:type="dxa"/>
            </w:tcMar>
            <w:vAlign w:val="center"/>
          </w:tcPr>
          <w:p w14:paraId="7B8AA96E" w14:textId="77777777" w:rsidR="00AD4A06" w:rsidRDefault="00634CB6">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0.63</w:t>
            </w:r>
          </w:p>
        </w:tc>
        <w:tc>
          <w:tcPr>
            <w:tcW w:w="1080" w:type="dxa"/>
            <w:tcBorders>
              <w:top w:val="none" w:sz="0" w:space="0" w:color="000000"/>
              <w:left w:val="none" w:sz="0" w:space="0" w:color="000000"/>
              <w:bottom w:val="single" w:sz="6" w:space="0" w:color="000000"/>
              <w:right w:val="none" w:sz="0" w:space="0" w:color="000000"/>
            </w:tcBorders>
            <w:shd w:val="clear" w:color="auto" w:fill="FFFFFF"/>
            <w:tcMar>
              <w:top w:w="0" w:type="dxa"/>
              <w:left w:w="0" w:type="dxa"/>
              <w:bottom w:w="0" w:type="dxa"/>
              <w:right w:w="0" w:type="dxa"/>
            </w:tcMar>
            <w:vAlign w:val="center"/>
          </w:tcPr>
          <w:p w14:paraId="32352F8E" w14:textId="77777777" w:rsidR="00AD4A06" w:rsidRDefault="00634CB6">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0.82</w:t>
            </w:r>
          </w:p>
        </w:tc>
        <w:tc>
          <w:tcPr>
            <w:tcW w:w="1080" w:type="dxa"/>
            <w:tcBorders>
              <w:top w:val="none" w:sz="0" w:space="0" w:color="000000"/>
              <w:left w:val="none" w:sz="0" w:space="0" w:color="000000"/>
              <w:bottom w:val="single" w:sz="6" w:space="0" w:color="000000"/>
              <w:right w:val="none" w:sz="0" w:space="0" w:color="000000"/>
            </w:tcBorders>
            <w:shd w:val="clear" w:color="auto" w:fill="FFFFFF"/>
            <w:tcMar>
              <w:top w:w="0" w:type="dxa"/>
              <w:left w:w="0" w:type="dxa"/>
              <w:bottom w:w="0" w:type="dxa"/>
              <w:right w:w="0" w:type="dxa"/>
            </w:tcMar>
            <w:vAlign w:val="center"/>
          </w:tcPr>
          <w:p w14:paraId="39E98503" w14:textId="77777777" w:rsidR="00AD4A06" w:rsidRDefault="00634CB6">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1.02</w:t>
            </w:r>
          </w:p>
        </w:tc>
        <w:tc>
          <w:tcPr>
            <w:tcW w:w="1080" w:type="dxa"/>
            <w:tcBorders>
              <w:top w:val="none" w:sz="0" w:space="0" w:color="000000"/>
              <w:left w:val="none" w:sz="0" w:space="0" w:color="000000"/>
              <w:bottom w:val="single" w:sz="6" w:space="0" w:color="000000"/>
              <w:right w:val="none" w:sz="0" w:space="0" w:color="000000"/>
            </w:tcBorders>
            <w:shd w:val="clear" w:color="auto" w:fill="FFFFFF"/>
            <w:tcMar>
              <w:top w:w="0" w:type="dxa"/>
              <w:left w:w="0" w:type="dxa"/>
              <w:bottom w:w="0" w:type="dxa"/>
              <w:right w:w="0" w:type="dxa"/>
            </w:tcMar>
            <w:vAlign w:val="center"/>
          </w:tcPr>
          <w:p w14:paraId="29404098" w14:textId="77777777" w:rsidR="00AD4A06" w:rsidRDefault="00634CB6">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1.32</w:t>
            </w:r>
          </w:p>
        </w:tc>
        <w:tc>
          <w:tcPr>
            <w:tcW w:w="1080" w:type="dxa"/>
            <w:tcBorders>
              <w:top w:val="none" w:sz="0" w:space="0" w:color="000000"/>
              <w:left w:val="none" w:sz="0" w:space="0" w:color="000000"/>
              <w:bottom w:val="single" w:sz="6" w:space="0" w:color="000000"/>
              <w:right w:val="none" w:sz="0" w:space="0" w:color="000000"/>
            </w:tcBorders>
            <w:shd w:val="clear" w:color="auto" w:fill="FFFFFF"/>
            <w:tcMar>
              <w:top w:w="0" w:type="dxa"/>
              <w:left w:w="0" w:type="dxa"/>
              <w:bottom w:w="0" w:type="dxa"/>
              <w:right w:w="0" w:type="dxa"/>
            </w:tcMar>
            <w:vAlign w:val="center"/>
          </w:tcPr>
          <w:p w14:paraId="411AC5F0" w14:textId="77777777" w:rsidR="00AD4A06" w:rsidRDefault="00634CB6">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1.59</w:t>
            </w:r>
          </w:p>
        </w:tc>
        <w:tc>
          <w:tcPr>
            <w:tcW w:w="1080" w:type="dxa"/>
            <w:tcBorders>
              <w:top w:val="none" w:sz="0" w:space="0" w:color="000000"/>
              <w:left w:val="none" w:sz="0" w:space="0" w:color="000000"/>
              <w:bottom w:val="single" w:sz="6" w:space="0" w:color="000000"/>
              <w:right w:val="none" w:sz="0" w:space="0" w:color="000000"/>
            </w:tcBorders>
            <w:shd w:val="clear" w:color="auto" w:fill="FFFFFF"/>
            <w:tcMar>
              <w:top w:w="0" w:type="dxa"/>
              <w:left w:w="0" w:type="dxa"/>
              <w:bottom w:w="0" w:type="dxa"/>
              <w:right w:w="0" w:type="dxa"/>
            </w:tcMar>
            <w:vAlign w:val="center"/>
          </w:tcPr>
          <w:p w14:paraId="3FA8933C" w14:textId="77777777" w:rsidR="00AD4A06" w:rsidRDefault="00634CB6">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1.88</w:t>
            </w:r>
          </w:p>
        </w:tc>
        <w:tc>
          <w:tcPr>
            <w:tcW w:w="1080" w:type="dxa"/>
            <w:tcBorders>
              <w:top w:val="none" w:sz="0" w:space="0" w:color="000000"/>
              <w:left w:val="none" w:sz="0" w:space="0" w:color="000000"/>
              <w:bottom w:val="single" w:sz="6" w:space="0" w:color="000000"/>
              <w:right w:val="none" w:sz="0" w:space="0" w:color="000000"/>
            </w:tcBorders>
            <w:shd w:val="clear" w:color="auto" w:fill="FFFFFF"/>
            <w:tcMar>
              <w:top w:w="0" w:type="dxa"/>
              <w:left w:w="0" w:type="dxa"/>
              <w:bottom w:w="0" w:type="dxa"/>
              <w:right w:w="0" w:type="dxa"/>
            </w:tcMar>
            <w:vAlign w:val="center"/>
          </w:tcPr>
          <w:p w14:paraId="09E10661" w14:textId="77777777" w:rsidR="00AD4A06" w:rsidRDefault="00634CB6">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0.87</w:t>
            </w:r>
          </w:p>
        </w:tc>
        <w:tc>
          <w:tcPr>
            <w:tcW w:w="1080" w:type="dxa"/>
            <w:tcBorders>
              <w:top w:val="none" w:sz="0" w:space="0" w:color="000000"/>
              <w:left w:val="none" w:sz="0" w:space="0" w:color="000000"/>
              <w:bottom w:val="single" w:sz="6" w:space="0" w:color="000000"/>
              <w:right w:val="none" w:sz="0" w:space="0" w:color="000000"/>
            </w:tcBorders>
            <w:shd w:val="clear" w:color="auto" w:fill="FFFFFF"/>
            <w:tcMar>
              <w:top w:w="0" w:type="dxa"/>
              <w:left w:w="0" w:type="dxa"/>
              <w:bottom w:w="0" w:type="dxa"/>
              <w:right w:w="0" w:type="dxa"/>
            </w:tcMar>
            <w:vAlign w:val="center"/>
          </w:tcPr>
          <w:p w14:paraId="5D63DF22" w14:textId="77777777" w:rsidR="00AD4A06" w:rsidRDefault="00634CB6">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0.76</w:t>
            </w:r>
          </w:p>
        </w:tc>
      </w:tr>
    </w:tbl>
    <w:p w14:paraId="35BC0411" w14:textId="77777777" w:rsidR="00AD4A06" w:rsidRDefault="00634CB6">
      <w:pPr>
        <w:pStyle w:val="FigureNote"/>
      </w:pPr>
      <w:r>
        <w:rPr>
          <w:i/>
          <w:iCs/>
        </w:rPr>
        <w:t>Note</w:t>
      </w:r>
      <w:r>
        <w:t>. a = Discrimination, b1-b8 = Response specific threshold parameters, λ = Standardized Factor Loadings, h2 = Commonality.</w:t>
      </w:r>
    </w:p>
    <w:p w14:paraId="0E27B00A" w14:textId="77777777" w:rsidR="00634CB6" w:rsidRDefault="00634CB6">
      <w:pPr>
        <w:pStyle w:val="BodyText"/>
        <w:sectPr w:rsidR="00634CB6" w:rsidSect="00C85942">
          <w:type w:val="continuous"/>
          <w:pgSz w:w="15840" w:h="12240" w:orient="landscape"/>
          <w:pgMar w:top="1440" w:right="1440" w:bottom="1440" w:left="1440" w:header="720" w:footer="720" w:gutter="0"/>
          <w:cols w:space="720"/>
        </w:sectPr>
      </w:pPr>
    </w:p>
    <w:p w14:paraId="0AB98F45" w14:textId="77777777" w:rsidR="00AD4A06" w:rsidRDefault="00634CB6">
      <w:pPr>
        <w:pStyle w:val="BodyText"/>
      </w:pPr>
      <w:r>
        <w:lastRenderedPageBreak/>
        <w:t>Next, we can estimate the model goodness-of-fit (GOF) statistics (</w:t>
      </w:r>
      <w:r>
        <w:rPr>
          <w:i/>
          <w:iCs/>
        </w:rPr>
        <w:t>M</w:t>
      </w:r>
      <w:r>
        <w:rPr>
          <w:vertAlign w:val="subscript"/>
        </w:rPr>
        <w:t>2</w:t>
      </w:r>
      <w:r>
        <w:t>) by calling this command below:</w:t>
      </w:r>
    </w:p>
    <w:p w14:paraId="61BA34A9" w14:textId="77777777" w:rsidR="00AD4A06" w:rsidRDefault="00634CB6">
      <w:pPr>
        <w:pStyle w:val="SourceCode"/>
      </w:pPr>
      <w:r>
        <w:rPr>
          <w:rStyle w:val="FunctionTok"/>
        </w:rPr>
        <w:t>M2</w:t>
      </w:r>
      <w:r>
        <w:rPr>
          <w:rStyle w:val="NormalTok"/>
        </w:rPr>
        <w:t xml:space="preserve">(fit, </w:t>
      </w:r>
      <w:r>
        <w:rPr>
          <w:rStyle w:val="AttributeTok"/>
        </w:rPr>
        <w:t>type =</w:t>
      </w:r>
      <w:r>
        <w:rPr>
          <w:rStyle w:val="NormalTok"/>
        </w:rPr>
        <w:t xml:space="preserve"> </w:t>
      </w:r>
      <w:r>
        <w:rPr>
          <w:rStyle w:val="StringTok"/>
        </w:rPr>
        <w:t>"C2"</w:t>
      </w:r>
      <w:r>
        <w:rPr>
          <w:rStyle w:val="NormalTok"/>
        </w:rPr>
        <w:t>)</w:t>
      </w:r>
    </w:p>
    <w:p w14:paraId="4B8E4E54" w14:textId="77777777" w:rsidR="00AD4A06" w:rsidRDefault="00634CB6">
      <w:pPr>
        <w:pStyle w:val="FirstParagraph"/>
      </w:pPr>
      <w:r>
        <w:rPr>
          <w:i/>
          <w:iCs/>
        </w:rPr>
        <w:t>mirt</w:t>
      </w:r>
      <w:r>
        <w:t xml:space="preserve"> calculates the </w:t>
      </w:r>
      <w:r>
        <w:rPr>
          <w:i/>
          <w:iCs/>
        </w:rPr>
        <w:t>M</w:t>
      </w:r>
      <w:r>
        <w:rPr>
          <w:vertAlign w:val="subscript"/>
        </w:rPr>
        <w:t>2</w:t>
      </w:r>
      <w:r>
        <w:t xml:space="preserve"> statistics (Maydeu-Olivares &amp; Joe, 2006) and other GOF indices, such as Root Mean Square Error of Approximation (RMSEA), Comparative Fit Index (CFI), Tucker-Lewis Index (TLI), and Standardized Root-Mean-Square Residual (SRMSR) after running the code above. Here, we set the </w:t>
      </w:r>
      <w:r>
        <w:rPr>
          <w:rStyle w:val="VerbatimChar"/>
        </w:rPr>
        <w:t>type</w:t>
      </w:r>
      <w:r>
        <w:t xml:space="preserve"> option to </w:t>
      </w:r>
      <w:r>
        <w:rPr>
          <w:rStyle w:val="VerbatimChar"/>
        </w:rPr>
        <w:t>"C2"</w:t>
      </w:r>
      <w:r>
        <w:t xml:space="preserve"> because it is suitable for computing </w:t>
      </w:r>
      <w:r>
        <w:rPr>
          <w:i/>
          <w:iCs/>
        </w:rPr>
        <w:t>M</w:t>
      </w:r>
      <w:r>
        <w:rPr>
          <w:vertAlign w:val="subscript"/>
        </w:rPr>
        <w:t>2</w:t>
      </w:r>
      <w:r>
        <w:t xml:space="preserve"> statistics in polytomous models. The interpretation of GOF statistics is similar to a general guide for interpreting GOF in CFA or SEM models (Schermelleh-Engel et al., 2003), which are </w:t>
      </w:r>
      <w:r>
        <w:rPr>
          <w:i/>
          <w:iCs/>
        </w:rPr>
        <w:t>RMSEA</w:t>
      </w:r>
      <w:r>
        <w:t xml:space="preserve"> </w:t>
      </w:r>
      <m:oMath>
        <m:r>
          <m:rPr>
            <m:sty m:val="p"/>
          </m:rPr>
          <w:rPr>
            <w:rFonts w:ascii="Cambria Math" w:hAnsi="Cambria Math"/>
          </w:rPr>
          <m:t>≤</m:t>
        </m:r>
      </m:oMath>
      <w:r>
        <w:t xml:space="preserve"> 0.05, </w:t>
      </w:r>
      <w:r>
        <w:rPr>
          <w:i/>
          <w:iCs/>
        </w:rPr>
        <w:t>SRMSR</w:t>
      </w:r>
      <w:r>
        <w:t xml:space="preserve"> &lt; 0.05, </w:t>
      </w:r>
      <w:r>
        <w:rPr>
          <w:i/>
          <w:iCs/>
        </w:rPr>
        <w:t>TLI</w:t>
      </w:r>
      <w:r>
        <w:t xml:space="preserve"> and </w:t>
      </w:r>
      <w:r>
        <w:rPr>
          <w:i/>
          <w:iCs/>
        </w:rPr>
        <w:t>CFI</w:t>
      </w:r>
      <w:r>
        <w:t xml:space="preserve"> </w:t>
      </w:r>
      <m:oMath>
        <m:r>
          <m:rPr>
            <m:sty m:val="p"/>
          </m:rPr>
          <w:rPr>
            <w:rFonts w:ascii="Cambria Math" w:hAnsi="Cambria Math"/>
          </w:rPr>
          <m:t>≥</m:t>
        </m:r>
      </m:oMath>
      <w:r>
        <w:t xml:space="preserve"> 0.97.</w:t>
      </w:r>
    </w:p>
    <w:p w14:paraId="04D2D232" w14:textId="77777777" w:rsidR="00AD4A06" w:rsidRDefault="00634CB6">
      <w:pPr>
        <w:pStyle w:val="BodyText"/>
      </w:pPr>
      <w:r>
        <w:t>According to our analysis, the model overall does not fit the data well (</w:t>
      </w:r>
      <w:r>
        <w:rPr>
          <w:i/>
          <w:iCs/>
        </w:rPr>
        <w:t>M</w:t>
      </w:r>
      <w:r>
        <w:rPr>
          <w:vertAlign w:val="subscript"/>
        </w:rPr>
        <w:t>2</w:t>
      </w:r>
      <w:r>
        <w:t xml:space="preserve">(209) = 1.9808942^{4}, </w:t>
      </w:r>
      <w:r>
        <w:rPr>
          <w:i/>
          <w:iCs/>
        </w:rPr>
        <w:t>p</w:t>
      </w:r>
      <w:r>
        <w:t xml:space="preserve"> &lt; .05, </w:t>
      </w:r>
      <w:r>
        <w:rPr>
          <w:i/>
          <w:iCs/>
        </w:rPr>
        <w:t>RMSEA</w:t>
      </w:r>
      <w:r>
        <w:t xml:space="preserve"> = 0.098, </w:t>
      </w:r>
      <w:r>
        <w:rPr>
          <w:i/>
          <w:iCs/>
        </w:rPr>
        <w:t>SRMSR</w:t>
      </w:r>
      <w:r>
        <w:t xml:space="preserve"> = 0.055, TLI = 0.969, CFI = 0.972), because there is a significant discrepancy between response patterns predicted by the model with the data, as shown by significant </w:t>
      </w:r>
      <w:r>
        <w:rPr>
          <w:i/>
          <w:iCs/>
        </w:rPr>
        <w:t>M</w:t>
      </w:r>
      <w:r>
        <w:rPr>
          <w:vertAlign w:val="subscript"/>
        </w:rPr>
        <w:t>2</w:t>
      </w:r>
      <w:r>
        <w:t xml:space="preserve"> statistics. All GOF statistics, except for CFI, do not indicate a good fit. Model misfit, in this case, may be caused by local dependency between the items. We will explore this issue further in the next part.</w:t>
      </w:r>
    </w:p>
    <w:p w14:paraId="06AA01E1" w14:textId="77777777" w:rsidR="00AD4A06" w:rsidRDefault="00634CB6">
      <w:pPr>
        <w:pStyle w:val="BodyText"/>
      </w:pPr>
      <w:r>
        <w:t>Next, we calculate item-level fit statistics, i.e., the signed $\chi$</w:t>
      </w:r>
      <w:r>
        <w:rPr>
          <w:vertAlign w:val="superscript"/>
        </w:rPr>
        <w:t>2</w:t>
      </w:r>
      <w:r>
        <w:t xml:space="preserve"> statistics, by running the following function:</w:t>
      </w:r>
    </w:p>
    <w:p w14:paraId="2C3EBD7B" w14:textId="77777777" w:rsidR="00AD4A06" w:rsidRDefault="00634CB6">
      <w:pPr>
        <w:pStyle w:val="SourceCode"/>
      </w:pPr>
      <w:r>
        <w:rPr>
          <w:rStyle w:val="NormalTok"/>
        </w:rPr>
        <w:t xml:space="preserve">item.fit </w:t>
      </w:r>
      <w:r>
        <w:rPr>
          <w:rStyle w:val="OtherTok"/>
        </w:rPr>
        <w:t>&lt;-</w:t>
      </w:r>
      <w:r>
        <w:rPr>
          <w:rStyle w:val="NormalTok"/>
        </w:rPr>
        <w:t xml:space="preserve"> </w:t>
      </w:r>
      <w:r>
        <w:rPr>
          <w:rStyle w:val="FunctionTok"/>
        </w:rPr>
        <w:t>itemfit</w:t>
      </w:r>
      <w:r>
        <w:rPr>
          <w:rStyle w:val="NormalTok"/>
        </w:rPr>
        <w:t xml:space="preserve">(fit) </w:t>
      </w:r>
      <w:r>
        <w:rPr>
          <w:rStyle w:val="CommentTok"/>
        </w:rPr>
        <w:t># Estimating item fit statistics and saving them in a data frame.</w:t>
      </w:r>
      <w:r>
        <w:br/>
      </w:r>
      <w:r>
        <w:rPr>
          <w:rStyle w:val="FunctionTok"/>
        </w:rPr>
        <w:t>print</w:t>
      </w:r>
      <w:r>
        <w:rPr>
          <w:rStyle w:val="NormalTok"/>
        </w:rPr>
        <w:t xml:space="preserve">(item.fit) </w:t>
      </w:r>
      <w:r>
        <w:rPr>
          <w:rStyle w:val="CommentTok"/>
        </w:rPr>
        <w:t># Calling the data frame.</w:t>
      </w:r>
    </w:p>
    <w:p w14:paraId="7D514006" w14:textId="77777777" w:rsidR="00AD4A06" w:rsidRDefault="00634CB6">
      <w:pPr>
        <w:pStyle w:val="FirstParagraph"/>
      </w:pPr>
      <w:r>
        <w:t xml:space="preserve">The output of this function is provided in Table 3, which shows fit statistics for an individual item. All items have very good (low) </w:t>
      </w:r>
      <w:r>
        <w:rPr>
          <w:i/>
          <w:iCs/>
        </w:rPr>
        <w:t>RMSEA</w:t>
      </w:r>
      <w:r>
        <w:t xml:space="preserve"> values but normally, we want the </w:t>
      </w:r>
      <w:r>
        <w:rPr>
          <w:i/>
          <w:iCs/>
        </w:rPr>
        <w:t>p</w:t>
      </w:r>
      <w:r>
        <w:t xml:space="preserve"> </w:t>
      </w:r>
      <w:r>
        <w:lastRenderedPageBreak/>
        <w:t>values of the signed $\chi$</w:t>
      </w:r>
      <w:r>
        <w:rPr>
          <w:vertAlign w:val="superscript"/>
        </w:rPr>
        <w:t>2</w:t>
      </w:r>
      <w:r>
        <w:t xml:space="preserve"> to be nonsignificant (</w:t>
      </w:r>
      <w:r>
        <w:rPr>
          <w:i/>
          <w:iCs/>
        </w:rPr>
        <w:t>p</w:t>
      </w:r>
      <w:r>
        <w:t xml:space="preserve"> &gt; .05), implying that there is no discrepancy between the observed response pattern with what the model predicts. In {apatb-table5}, only three items here are nonsignificant (Q2, Q4, and Q12), which strengthens our suspicion that the RWA items might not be locally independent.</w:t>
      </w:r>
    </w:p>
    <w:p w14:paraId="60061E4C" w14:textId="77777777" w:rsidR="00AD4A06" w:rsidRDefault="00634CB6">
      <w:r>
        <w:br w:type="page"/>
      </w:r>
    </w:p>
    <w:p w14:paraId="5F2AC9F8" w14:textId="77777777" w:rsidR="00AD4A06" w:rsidRDefault="00634CB6">
      <w:pPr>
        <w:pStyle w:val="FigureTitle"/>
      </w:pPr>
      <w:bookmarkStart w:id="14" w:name="apatb-table3"/>
      <w:r>
        <w:lastRenderedPageBreak/>
        <w:t>Table 3</w:t>
      </w:r>
    </w:p>
    <w:bookmarkEnd w:id="14"/>
    <w:p w14:paraId="007495A0" w14:textId="77777777" w:rsidR="00AD4A06" w:rsidRDefault="00634CB6">
      <w:pPr>
        <w:pStyle w:val="Caption"/>
      </w:pPr>
      <w:r>
        <w:t>Item Fit Statistics</w:t>
      </w:r>
    </w:p>
    <w:tbl>
      <w:tblPr>
        <w:tblW w:w="0" w:type="auto"/>
        <w:tblLayout w:type="fixed"/>
        <w:tblLook w:val="0420" w:firstRow="1" w:lastRow="0" w:firstColumn="0" w:lastColumn="0" w:noHBand="0" w:noVBand="1"/>
      </w:tblPr>
      <w:tblGrid>
        <w:gridCol w:w="1080"/>
        <w:gridCol w:w="1080"/>
        <w:gridCol w:w="1080"/>
        <w:gridCol w:w="1080"/>
        <w:gridCol w:w="1080"/>
      </w:tblGrid>
      <w:tr w:rsidR="00AD4A06" w14:paraId="43F31E14" w14:textId="77777777">
        <w:trPr>
          <w:tblHeader/>
        </w:trPr>
        <w:tc>
          <w:tcPr>
            <w:tcW w:w="1080" w:type="dxa"/>
            <w:tcBorders>
              <w:top w:val="single" w:sz="6" w:space="0" w:color="000000"/>
              <w:left w:val="none" w:sz="0" w:space="0" w:color="000000"/>
              <w:bottom w:val="single" w:sz="6" w:space="0" w:color="000000"/>
              <w:right w:val="none" w:sz="0" w:space="0" w:color="000000"/>
            </w:tcBorders>
            <w:shd w:val="clear" w:color="auto" w:fill="FFFFFF"/>
            <w:tcMar>
              <w:top w:w="0" w:type="dxa"/>
              <w:left w:w="0" w:type="dxa"/>
              <w:bottom w:w="0" w:type="dxa"/>
              <w:right w:w="0" w:type="dxa"/>
            </w:tcMar>
            <w:vAlign w:val="center"/>
          </w:tcPr>
          <w:p w14:paraId="0E789079" w14:textId="77777777" w:rsidR="00AD4A06" w:rsidRDefault="00634CB6">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Item</w:t>
            </w:r>
          </w:p>
        </w:tc>
        <w:tc>
          <w:tcPr>
            <w:tcW w:w="1080" w:type="dxa"/>
            <w:tcBorders>
              <w:top w:val="single" w:sz="6" w:space="0" w:color="000000"/>
              <w:left w:val="none" w:sz="0" w:space="0" w:color="000000"/>
              <w:bottom w:val="single" w:sz="6" w:space="0" w:color="000000"/>
              <w:right w:val="none" w:sz="0" w:space="0" w:color="000000"/>
            </w:tcBorders>
            <w:shd w:val="clear" w:color="auto" w:fill="FFFFFF"/>
            <w:tcMar>
              <w:top w:w="0" w:type="dxa"/>
              <w:left w:w="0" w:type="dxa"/>
              <w:bottom w:w="0" w:type="dxa"/>
              <w:right w:w="0" w:type="dxa"/>
            </w:tcMar>
            <w:vAlign w:val="center"/>
          </w:tcPr>
          <w:p w14:paraId="6461A11F" w14:textId="77777777" w:rsidR="00AD4A06" w:rsidRDefault="00634CB6">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Sχ2</w:t>
            </w:r>
          </w:p>
        </w:tc>
        <w:tc>
          <w:tcPr>
            <w:tcW w:w="1080" w:type="dxa"/>
            <w:tcBorders>
              <w:top w:val="single" w:sz="6" w:space="0" w:color="000000"/>
              <w:left w:val="none" w:sz="0" w:space="0" w:color="000000"/>
              <w:bottom w:val="single" w:sz="6" w:space="0" w:color="000000"/>
              <w:right w:val="none" w:sz="0" w:space="0" w:color="000000"/>
            </w:tcBorders>
            <w:shd w:val="clear" w:color="auto" w:fill="FFFFFF"/>
            <w:tcMar>
              <w:top w:w="0" w:type="dxa"/>
              <w:left w:w="0" w:type="dxa"/>
              <w:bottom w:w="0" w:type="dxa"/>
              <w:right w:w="0" w:type="dxa"/>
            </w:tcMar>
            <w:vAlign w:val="center"/>
          </w:tcPr>
          <w:p w14:paraId="6E781AC9" w14:textId="77777777" w:rsidR="00AD4A06" w:rsidRDefault="00634CB6">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df</w:t>
            </w:r>
          </w:p>
        </w:tc>
        <w:tc>
          <w:tcPr>
            <w:tcW w:w="1080" w:type="dxa"/>
            <w:tcBorders>
              <w:top w:val="single" w:sz="6" w:space="0" w:color="000000"/>
              <w:left w:val="none" w:sz="0" w:space="0" w:color="000000"/>
              <w:bottom w:val="single" w:sz="6" w:space="0" w:color="000000"/>
              <w:right w:val="none" w:sz="0" w:space="0" w:color="000000"/>
            </w:tcBorders>
            <w:shd w:val="clear" w:color="auto" w:fill="FFFFFF"/>
            <w:tcMar>
              <w:top w:w="0" w:type="dxa"/>
              <w:left w:w="0" w:type="dxa"/>
              <w:bottom w:w="0" w:type="dxa"/>
              <w:right w:w="0" w:type="dxa"/>
            </w:tcMar>
            <w:vAlign w:val="center"/>
          </w:tcPr>
          <w:p w14:paraId="171E97A1" w14:textId="77777777" w:rsidR="00AD4A06" w:rsidRDefault="00634CB6">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RMSEA</w:t>
            </w:r>
          </w:p>
        </w:tc>
        <w:tc>
          <w:tcPr>
            <w:tcW w:w="1080" w:type="dxa"/>
            <w:tcBorders>
              <w:top w:val="single" w:sz="6" w:space="0" w:color="000000"/>
              <w:left w:val="none" w:sz="0" w:space="0" w:color="000000"/>
              <w:bottom w:val="single" w:sz="6" w:space="0" w:color="000000"/>
              <w:right w:val="none" w:sz="0" w:space="0" w:color="000000"/>
            </w:tcBorders>
            <w:shd w:val="clear" w:color="auto" w:fill="FFFFFF"/>
            <w:tcMar>
              <w:top w:w="0" w:type="dxa"/>
              <w:left w:w="0" w:type="dxa"/>
              <w:bottom w:w="0" w:type="dxa"/>
              <w:right w:w="0" w:type="dxa"/>
            </w:tcMar>
            <w:vAlign w:val="center"/>
          </w:tcPr>
          <w:p w14:paraId="543BC218" w14:textId="77777777" w:rsidR="00AD4A06" w:rsidRDefault="00634CB6">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p</w:t>
            </w:r>
          </w:p>
        </w:tc>
      </w:tr>
      <w:tr w:rsidR="00AD4A06" w14:paraId="13A8B9FE" w14:textId="77777777">
        <w:tc>
          <w:tcPr>
            <w:tcW w:w="1080" w:type="dxa"/>
            <w:tcBorders>
              <w:top w:val="single" w:sz="6"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3C9489" w14:textId="77777777" w:rsidR="00AD4A06" w:rsidRDefault="00634CB6">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Q1</w:t>
            </w:r>
          </w:p>
        </w:tc>
        <w:tc>
          <w:tcPr>
            <w:tcW w:w="1080" w:type="dxa"/>
            <w:tcBorders>
              <w:top w:val="single" w:sz="6"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5DC36C" w14:textId="77777777" w:rsidR="00AD4A06" w:rsidRDefault="00634CB6">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912.42</w:t>
            </w:r>
          </w:p>
        </w:tc>
        <w:tc>
          <w:tcPr>
            <w:tcW w:w="1080" w:type="dxa"/>
            <w:tcBorders>
              <w:top w:val="single" w:sz="6"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343320" w14:textId="77777777" w:rsidR="00AD4A06" w:rsidRDefault="00634CB6">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482</w:t>
            </w:r>
          </w:p>
        </w:tc>
        <w:tc>
          <w:tcPr>
            <w:tcW w:w="1080" w:type="dxa"/>
            <w:tcBorders>
              <w:top w:val="single" w:sz="6"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7E17DA" w14:textId="77777777" w:rsidR="00AD4A06" w:rsidRDefault="00634CB6">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0.010</w:t>
            </w:r>
          </w:p>
        </w:tc>
        <w:tc>
          <w:tcPr>
            <w:tcW w:w="1080" w:type="dxa"/>
            <w:tcBorders>
              <w:top w:val="single" w:sz="6"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773BF5" w14:textId="77777777" w:rsidR="00AD4A06" w:rsidRDefault="00634CB6">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0.000</w:t>
            </w:r>
          </w:p>
        </w:tc>
      </w:tr>
      <w:tr w:rsidR="00AD4A06" w14:paraId="331FC6EE" w14:textId="77777777">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86818B" w14:textId="77777777" w:rsidR="00AD4A06" w:rsidRDefault="00634CB6">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Q2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1CCC14" w14:textId="77777777" w:rsidR="00AD4A06" w:rsidRDefault="00634CB6">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1,726.93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735036" w14:textId="77777777" w:rsidR="00AD4A06" w:rsidRDefault="00634CB6">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447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4CD48F" w14:textId="77777777" w:rsidR="00AD4A06" w:rsidRDefault="00634CB6">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0.017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016E13" w14:textId="77777777" w:rsidR="00AD4A06" w:rsidRDefault="00634CB6">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0.000</w:t>
            </w:r>
          </w:p>
        </w:tc>
      </w:tr>
      <w:tr w:rsidR="00AD4A06" w14:paraId="2023E7FE" w14:textId="77777777">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E9DC57" w14:textId="77777777" w:rsidR="00AD4A06" w:rsidRDefault="00634CB6">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Q3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A065EE" w14:textId="77777777" w:rsidR="00AD4A06" w:rsidRDefault="00634CB6">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812.08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E0A156" w14:textId="77777777" w:rsidR="00AD4A06" w:rsidRDefault="00634CB6">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458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4ADDD5" w14:textId="77777777" w:rsidR="00AD4A06" w:rsidRDefault="00634CB6">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0.009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122388" w14:textId="77777777" w:rsidR="00AD4A06" w:rsidRDefault="00634CB6">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0.000</w:t>
            </w:r>
          </w:p>
        </w:tc>
      </w:tr>
      <w:tr w:rsidR="00AD4A06" w14:paraId="600AEDE0" w14:textId="77777777">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F9947D" w14:textId="77777777" w:rsidR="00AD4A06" w:rsidRDefault="00634CB6">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Q4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E097ED" w14:textId="77777777" w:rsidR="00AD4A06" w:rsidRDefault="00634CB6">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1,477.36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8F6ED9" w14:textId="77777777" w:rsidR="00AD4A06" w:rsidRDefault="00634CB6">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526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22D2A2" w14:textId="77777777" w:rsidR="00AD4A06" w:rsidRDefault="00634CB6">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0.014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ED223D" w14:textId="77777777" w:rsidR="00AD4A06" w:rsidRDefault="00634CB6">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0.000</w:t>
            </w:r>
          </w:p>
        </w:tc>
      </w:tr>
      <w:tr w:rsidR="00AD4A06" w14:paraId="41A0A2CC" w14:textId="77777777">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B3C20B" w14:textId="77777777" w:rsidR="00AD4A06" w:rsidRDefault="00634CB6">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Q5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79EE58" w14:textId="77777777" w:rsidR="00AD4A06" w:rsidRDefault="00634CB6">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937.43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C2154D" w14:textId="77777777" w:rsidR="00AD4A06" w:rsidRDefault="00634CB6">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474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29D04D" w14:textId="77777777" w:rsidR="00AD4A06" w:rsidRDefault="00634CB6">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0.010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173B52" w14:textId="77777777" w:rsidR="00AD4A06" w:rsidRDefault="00634CB6">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0.000</w:t>
            </w:r>
          </w:p>
        </w:tc>
      </w:tr>
      <w:tr w:rsidR="00AD4A06" w14:paraId="725B306C" w14:textId="77777777">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6A9684" w14:textId="77777777" w:rsidR="00AD4A06" w:rsidRDefault="00634CB6">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Q6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3C72D9" w14:textId="77777777" w:rsidR="00AD4A06" w:rsidRDefault="00634CB6">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1,037.64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4B01C7" w14:textId="77777777" w:rsidR="00AD4A06" w:rsidRDefault="00634CB6">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552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FA093E" w14:textId="77777777" w:rsidR="00AD4A06" w:rsidRDefault="00634CB6">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0.010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F79B7A" w14:textId="77777777" w:rsidR="00AD4A06" w:rsidRDefault="00634CB6">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0.000</w:t>
            </w:r>
          </w:p>
        </w:tc>
      </w:tr>
      <w:tr w:rsidR="00AD4A06" w14:paraId="386FF173" w14:textId="77777777">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63EC14" w14:textId="77777777" w:rsidR="00AD4A06" w:rsidRDefault="00634CB6">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Q7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401B29" w14:textId="77777777" w:rsidR="00AD4A06" w:rsidRDefault="00634CB6">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887.73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1C02C2" w14:textId="77777777" w:rsidR="00AD4A06" w:rsidRDefault="00634CB6">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456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81DB80" w14:textId="77777777" w:rsidR="00AD4A06" w:rsidRDefault="00634CB6">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0.010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7D97F2" w14:textId="77777777" w:rsidR="00AD4A06" w:rsidRDefault="00634CB6">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0.000</w:t>
            </w:r>
          </w:p>
        </w:tc>
      </w:tr>
      <w:tr w:rsidR="00AD4A06" w14:paraId="5B25C711" w14:textId="77777777">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885218" w14:textId="77777777" w:rsidR="00AD4A06" w:rsidRDefault="00634CB6">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Q8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748DC3" w14:textId="77777777" w:rsidR="00AD4A06" w:rsidRDefault="00634CB6">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1,159.88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82A5A9" w14:textId="77777777" w:rsidR="00AD4A06" w:rsidRDefault="00634CB6">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526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277156" w14:textId="77777777" w:rsidR="00AD4A06" w:rsidRDefault="00634CB6">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0.011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16E61A" w14:textId="77777777" w:rsidR="00AD4A06" w:rsidRDefault="00634CB6">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0.000</w:t>
            </w:r>
          </w:p>
        </w:tc>
      </w:tr>
      <w:tr w:rsidR="00AD4A06" w14:paraId="44B4966F" w14:textId="77777777">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4F76BF" w14:textId="77777777" w:rsidR="00AD4A06" w:rsidRDefault="00634CB6">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Q9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9DF188" w14:textId="77777777" w:rsidR="00AD4A06" w:rsidRDefault="00634CB6">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1,133.73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7FF91E" w14:textId="77777777" w:rsidR="00AD4A06" w:rsidRDefault="00634CB6">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533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5EB694" w14:textId="77777777" w:rsidR="00AD4A06" w:rsidRDefault="00634CB6">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0.011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E796A0" w14:textId="77777777" w:rsidR="00AD4A06" w:rsidRDefault="00634CB6">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0.000</w:t>
            </w:r>
          </w:p>
        </w:tc>
      </w:tr>
      <w:tr w:rsidR="00AD4A06" w14:paraId="7CD51BFD" w14:textId="77777777">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8E9335" w14:textId="77777777" w:rsidR="00AD4A06" w:rsidRDefault="00634CB6">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Q10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9109E8" w14:textId="77777777" w:rsidR="00AD4A06" w:rsidRDefault="00634CB6">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1,424.25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77E81B" w14:textId="77777777" w:rsidR="00AD4A06" w:rsidRDefault="00634CB6">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472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589321" w14:textId="77777777" w:rsidR="00AD4A06" w:rsidRDefault="00634CB6">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0.014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25CB8F" w14:textId="77777777" w:rsidR="00AD4A06" w:rsidRDefault="00634CB6">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0.000</w:t>
            </w:r>
          </w:p>
        </w:tc>
      </w:tr>
      <w:tr w:rsidR="00AD4A06" w14:paraId="33D546DD" w14:textId="77777777">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7278B0" w14:textId="77777777" w:rsidR="00AD4A06" w:rsidRDefault="00634CB6">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Q11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A4A650" w14:textId="77777777" w:rsidR="00AD4A06" w:rsidRDefault="00634CB6">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1,704.65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EEB033" w14:textId="77777777" w:rsidR="00AD4A06" w:rsidRDefault="00634CB6">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539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0BF642" w14:textId="77777777" w:rsidR="00AD4A06" w:rsidRDefault="00634CB6">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0.015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44E9A9" w14:textId="77777777" w:rsidR="00AD4A06" w:rsidRDefault="00634CB6">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0.000</w:t>
            </w:r>
          </w:p>
        </w:tc>
      </w:tr>
      <w:tr w:rsidR="00AD4A06" w14:paraId="04B8237A" w14:textId="77777777">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C2C930" w14:textId="77777777" w:rsidR="00AD4A06" w:rsidRDefault="00634CB6">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Q12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4739E1" w14:textId="77777777" w:rsidR="00AD4A06" w:rsidRDefault="00634CB6">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1,710.42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B695E2" w14:textId="77777777" w:rsidR="00AD4A06" w:rsidRDefault="00634CB6">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472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AA1CD3" w14:textId="77777777" w:rsidR="00AD4A06" w:rsidRDefault="00634CB6">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0.016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6FEC27" w14:textId="77777777" w:rsidR="00AD4A06" w:rsidRDefault="00634CB6">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0.000</w:t>
            </w:r>
          </w:p>
        </w:tc>
      </w:tr>
      <w:tr w:rsidR="00AD4A06" w14:paraId="4F7C2342" w14:textId="77777777">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A5221B" w14:textId="77777777" w:rsidR="00AD4A06" w:rsidRDefault="00634CB6">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Q13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4131C9" w14:textId="77777777" w:rsidR="00AD4A06" w:rsidRDefault="00634CB6">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1,595.25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413F63" w14:textId="77777777" w:rsidR="00AD4A06" w:rsidRDefault="00634CB6">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512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E72A2E" w14:textId="77777777" w:rsidR="00AD4A06" w:rsidRDefault="00634CB6">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0.015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A8ABDC" w14:textId="77777777" w:rsidR="00AD4A06" w:rsidRDefault="00634CB6">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0.000</w:t>
            </w:r>
          </w:p>
        </w:tc>
      </w:tr>
      <w:tr w:rsidR="00AD4A06" w14:paraId="0BEAAA39" w14:textId="77777777">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05F7D8" w14:textId="77777777" w:rsidR="00AD4A06" w:rsidRDefault="00634CB6">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Q14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48BE94" w14:textId="77777777" w:rsidR="00AD4A06" w:rsidRDefault="00634CB6">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674.07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BD525E" w14:textId="77777777" w:rsidR="00AD4A06" w:rsidRDefault="00634CB6">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469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38D846" w14:textId="77777777" w:rsidR="00AD4A06" w:rsidRDefault="00634CB6">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0.007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C8D6A8" w14:textId="77777777" w:rsidR="00AD4A06" w:rsidRDefault="00634CB6">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0.000</w:t>
            </w:r>
          </w:p>
        </w:tc>
      </w:tr>
      <w:tr w:rsidR="00AD4A06" w14:paraId="3A2713BB" w14:textId="77777777">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A8E88A" w14:textId="77777777" w:rsidR="00AD4A06" w:rsidRDefault="00634CB6">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Q15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D41442" w14:textId="77777777" w:rsidR="00AD4A06" w:rsidRDefault="00634CB6">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1,105.33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111F8" w14:textId="77777777" w:rsidR="00AD4A06" w:rsidRDefault="00634CB6">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475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3C17C7" w14:textId="77777777" w:rsidR="00AD4A06" w:rsidRDefault="00634CB6">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0.012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8D1720" w14:textId="77777777" w:rsidR="00AD4A06" w:rsidRDefault="00634CB6">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0.000</w:t>
            </w:r>
          </w:p>
        </w:tc>
      </w:tr>
      <w:tr w:rsidR="00AD4A06" w14:paraId="5B0DDA4F" w14:textId="77777777">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C2075F" w14:textId="77777777" w:rsidR="00AD4A06" w:rsidRDefault="00634CB6">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Q16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0CC8A1" w14:textId="77777777" w:rsidR="00AD4A06" w:rsidRDefault="00634CB6">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2,424.64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4020DF" w14:textId="77777777" w:rsidR="00AD4A06" w:rsidRDefault="00634CB6">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448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59E0DC" w14:textId="77777777" w:rsidR="00AD4A06" w:rsidRDefault="00634CB6">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0.021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35ADD6" w14:textId="77777777" w:rsidR="00AD4A06" w:rsidRDefault="00634CB6">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0.000</w:t>
            </w:r>
          </w:p>
        </w:tc>
      </w:tr>
      <w:tr w:rsidR="00AD4A06" w14:paraId="1AEF60E6" w14:textId="77777777">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A39827" w14:textId="77777777" w:rsidR="00AD4A06" w:rsidRDefault="00634CB6">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Q17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726F14" w14:textId="77777777" w:rsidR="00AD4A06" w:rsidRDefault="00634CB6">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857.94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52E2BA" w14:textId="77777777" w:rsidR="00AD4A06" w:rsidRDefault="00634CB6">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465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9E0764" w14:textId="77777777" w:rsidR="00AD4A06" w:rsidRDefault="00634CB6">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0.009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24CB0D" w14:textId="77777777" w:rsidR="00AD4A06" w:rsidRDefault="00634CB6">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0.000</w:t>
            </w:r>
          </w:p>
        </w:tc>
      </w:tr>
      <w:tr w:rsidR="00AD4A06" w14:paraId="3B0D8B27" w14:textId="77777777">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5766AF" w14:textId="77777777" w:rsidR="00AD4A06" w:rsidRDefault="00634CB6">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Q18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1E76FA" w14:textId="77777777" w:rsidR="00AD4A06" w:rsidRDefault="00634CB6">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1,006.98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513937" w14:textId="77777777" w:rsidR="00AD4A06" w:rsidRDefault="00634CB6">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524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19DC43" w14:textId="77777777" w:rsidR="00AD4A06" w:rsidRDefault="00634CB6">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0.010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54B3C8" w14:textId="77777777" w:rsidR="00AD4A06" w:rsidRDefault="00634CB6">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0.000</w:t>
            </w:r>
          </w:p>
        </w:tc>
      </w:tr>
      <w:tr w:rsidR="00AD4A06" w14:paraId="6755126C" w14:textId="77777777">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5A8FB0" w14:textId="77777777" w:rsidR="00AD4A06" w:rsidRDefault="00634CB6">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Q19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63B589" w14:textId="77777777" w:rsidR="00AD4A06" w:rsidRDefault="00634CB6">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834.28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00A026" w14:textId="77777777" w:rsidR="00AD4A06" w:rsidRDefault="00634CB6">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465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DF816D" w14:textId="77777777" w:rsidR="00AD4A06" w:rsidRDefault="00634CB6">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0.009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01DCCD" w14:textId="77777777" w:rsidR="00AD4A06" w:rsidRDefault="00634CB6">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0.000</w:t>
            </w:r>
          </w:p>
        </w:tc>
      </w:tr>
      <w:tr w:rsidR="00AD4A06" w14:paraId="45F7854B" w14:textId="77777777">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3289DD" w14:textId="77777777" w:rsidR="00AD4A06" w:rsidRDefault="00634CB6">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Q20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DCFA16" w14:textId="77777777" w:rsidR="00AD4A06" w:rsidRDefault="00634CB6">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1,417.14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21130D" w14:textId="77777777" w:rsidR="00AD4A06" w:rsidRDefault="00634CB6">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536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80F83C" w14:textId="77777777" w:rsidR="00AD4A06" w:rsidRDefault="00634CB6">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0.013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356721" w14:textId="77777777" w:rsidR="00AD4A06" w:rsidRDefault="00634CB6">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0.000</w:t>
            </w:r>
          </w:p>
        </w:tc>
      </w:tr>
      <w:tr w:rsidR="00AD4A06" w14:paraId="112C105A" w14:textId="77777777">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FA50C6" w14:textId="77777777" w:rsidR="00AD4A06" w:rsidRDefault="00634CB6">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Q21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62FD40" w14:textId="77777777" w:rsidR="00AD4A06" w:rsidRDefault="00634CB6">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1,530.07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704D33" w14:textId="77777777" w:rsidR="00AD4A06" w:rsidRDefault="00634CB6">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539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D345C2" w14:textId="77777777" w:rsidR="00AD4A06" w:rsidRDefault="00634CB6">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0.014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6451DA" w14:textId="77777777" w:rsidR="00AD4A06" w:rsidRDefault="00634CB6">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0.000</w:t>
            </w:r>
          </w:p>
        </w:tc>
      </w:tr>
      <w:tr w:rsidR="00AD4A06" w14:paraId="48405AA4" w14:textId="77777777">
        <w:tc>
          <w:tcPr>
            <w:tcW w:w="1080" w:type="dxa"/>
            <w:tcBorders>
              <w:top w:val="none" w:sz="0" w:space="0" w:color="000000"/>
              <w:left w:val="none" w:sz="0" w:space="0" w:color="000000"/>
              <w:bottom w:val="single" w:sz="6" w:space="0" w:color="000000"/>
              <w:right w:val="none" w:sz="0" w:space="0" w:color="000000"/>
            </w:tcBorders>
            <w:shd w:val="clear" w:color="auto" w:fill="FFFFFF"/>
            <w:tcMar>
              <w:top w:w="0" w:type="dxa"/>
              <w:left w:w="0" w:type="dxa"/>
              <w:bottom w:w="0" w:type="dxa"/>
              <w:right w:w="0" w:type="dxa"/>
            </w:tcMar>
            <w:vAlign w:val="center"/>
          </w:tcPr>
          <w:p w14:paraId="0CB60665" w14:textId="77777777" w:rsidR="00AD4A06" w:rsidRDefault="00634CB6">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Q22</w:t>
            </w:r>
          </w:p>
        </w:tc>
        <w:tc>
          <w:tcPr>
            <w:tcW w:w="1080" w:type="dxa"/>
            <w:tcBorders>
              <w:top w:val="none" w:sz="0" w:space="0" w:color="000000"/>
              <w:left w:val="none" w:sz="0" w:space="0" w:color="000000"/>
              <w:bottom w:val="single" w:sz="6" w:space="0" w:color="000000"/>
              <w:right w:val="none" w:sz="0" w:space="0" w:color="000000"/>
            </w:tcBorders>
            <w:shd w:val="clear" w:color="auto" w:fill="FFFFFF"/>
            <w:tcMar>
              <w:top w:w="0" w:type="dxa"/>
              <w:left w:w="0" w:type="dxa"/>
              <w:bottom w:w="0" w:type="dxa"/>
              <w:right w:w="0" w:type="dxa"/>
            </w:tcMar>
            <w:vAlign w:val="center"/>
          </w:tcPr>
          <w:p w14:paraId="67F07032" w14:textId="77777777" w:rsidR="00AD4A06" w:rsidRDefault="00634CB6">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946.23</w:t>
            </w:r>
          </w:p>
        </w:tc>
        <w:tc>
          <w:tcPr>
            <w:tcW w:w="1080" w:type="dxa"/>
            <w:tcBorders>
              <w:top w:val="none" w:sz="0" w:space="0" w:color="000000"/>
              <w:left w:val="none" w:sz="0" w:space="0" w:color="000000"/>
              <w:bottom w:val="single" w:sz="6" w:space="0" w:color="000000"/>
              <w:right w:val="none" w:sz="0" w:space="0" w:color="000000"/>
            </w:tcBorders>
            <w:shd w:val="clear" w:color="auto" w:fill="FFFFFF"/>
            <w:tcMar>
              <w:top w:w="0" w:type="dxa"/>
              <w:left w:w="0" w:type="dxa"/>
              <w:bottom w:w="0" w:type="dxa"/>
              <w:right w:w="0" w:type="dxa"/>
            </w:tcMar>
            <w:vAlign w:val="center"/>
          </w:tcPr>
          <w:p w14:paraId="575D9AA4" w14:textId="77777777" w:rsidR="00AD4A06" w:rsidRDefault="00634CB6">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465</w:t>
            </w:r>
          </w:p>
        </w:tc>
        <w:tc>
          <w:tcPr>
            <w:tcW w:w="1080" w:type="dxa"/>
            <w:tcBorders>
              <w:top w:val="none" w:sz="0" w:space="0" w:color="000000"/>
              <w:left w:val="none" w:sz="0" w:space="0" w:color="000000"/>
              <w:bottom w:val="single" w:sz="6" w:space="0" w:color="000000"/>
              <w:right w:val="none" w:sz="0" w:space="0" w:color="000000"/>
            </w:tcBorders>
            <w:shd w:val="clear" w:color="auto" w:fill="FFFFFF"/>
            <w:tcMar>
              <w:top w:w="0" w:type="dxa"/>
              <w:left w:w="0" w:type="dxa"/>
              <w:bottom w:w="0" w:type="dxa"/>
              <w:right w:w="0" w:type="dxa"/>
            </w:tcMar>
            <w:vAlign w:val="center"/>
          </w:tcPr>
          <w:p w14:paraId="2B91332D" w14:textId="77777777" w:rsidR="00AD4A06" w:rsidRDefault="00634CB6">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0.010</w:t>
            </w:r>
          </w:p>
        </w:tc>
        <w:tc>
          <w:tcPr>
            <w:tcW w:w="1080" w:type="dxa"/>
            <w:tcBorders>
              <w:top w:val="none" w:sz="0" w:space="0" w:color="000000"/>
              <w:left w:val="none" w:sz="0" w:space="0" w:color="000000"/>
              <w:bottom w:val="single" w:sz="6" w:space="0" w:color="000000"/>
              <w:right w:val="none" w:sz="0" w:space="0" w:color="000000"/>
            </w:tcBorders>
            <w:shd w:val="clear" w:color="auto" w:fill="FFFFFF"/>
            <w:tcMar>
              <w:top w:w="0" w:type="dxa"/>
              <w:left w:w="0" w:type="dxa"/>
              <w:bottom w:w="0" w:type="dxa"/>
              <w:right w:w="0" w:type="dxa"/>
            </w:tcMar>
            <w:vAlign w:val="center"/>
          </w:tcPr>
          <w:p w14:paraId="3F5032EA" w14:textId="77777777" w:rsidR="00AD4A06" w:rsidRDefault="00634CB6">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Times New Roman" w:eastAsia="Times New Roman" w:hAnsi="Times New Roman" w:cs="Times New Roman"/>
                <w:color w:val="000000"/>
                <w:sz w:val="22"/>
                <w:szCs w:val="22"/>
              </w:rPr>
              <w:t>0.000</w:t>
            </w:r>
          </w:p>
        </w:tc>
      </w:tr>
    </w:tbl>
    <w:p w14:paraId="57C6A631" w14:textId="77777777" w:rsidR="00AD4A06" w:rsidRDefault="00634CB6">
      <w:pPr>
        <w:pStyle w:val="FigureNote"/>
      </w:pPr>
      <w:r>
        <w:rPr>
          <w:i/>
          <w:iCs/>
        </w:rPr>
        <w:lastRenderedPageBreak/>
        <w:t>Note</w:t>
      </w:r>
      <w:r>
        <w:t>. Signed χ2 Statistics. RMSEA = Root Mean Square Error of Approximation, CFI = Comparative Fit Index, TLI = Tucker-Lewis Index, SRMR = Standardized Root Mean Square Residual.</w:t>
      </w:r>
    </w:p>
    <w:p w14:paraId="44EAFD9C" w14:textId="77777777" w:rsidR="00634CB6" w:rsidRDefault="00634CB6">
      <w:pPr>
        <w:pStyle w:val="Heading2"/>
      </w:pPr>
      <w:bookmarkStart w:id="15" w:name="step-5-model-residuals"/>
      <w:bookmarkEnd w:id="12"/>
    </w:p>
    <w:p w14:paraId="230BEE41" w14:textId="77777777" w:rsidR="00AD4A06" w:rsidRDefault="00634CB6">
      <w:pPr>
        <w:pStyle w:val="Heading2"/>
      </w:pPr>
      <w:r>
        <w:t>Step 5: Model Residuals</w:t>
      </w:r>
    </w:p>
    <w:p w14:paraId="56AEE967" w14:textId="77777777" w:rsidR="00AD4A06" w:rsidRDefault="00634CB6">
      <w:pPr>
        <w:pStyle w:val="FirstParagraph"/>
      </w:pPr>
      <w:r>
        <w:t xml:space="preserve">To ensure that the items are locally independent, </w:t>
      </w:r>
      <w:r>
        <w:rPr>
          <w:i/>
          <w:iCs/>
        </w:rPr>
        <w:t>mirt</w:t>
      </w:r>
      <w:r>
        <w:t xml:space="preserve"> offers several alternatives to examine the behavior of residuals. First, we demonstrate how to run Local Dependency (LD) $\chi$</w:t>
      </w:r>
      <w:r>
        <w:rPr>
          <w:vertAlign w:val="superscript"/>
        </w:rPr>
        <w:t>2</w:t>
      </w:r>
      <w:r>
        <w:t xml:space="preserve"> statistics (Chen &amp; Thissen, 1997), which looks at the covariance between item pairs after accounting for </w:t>
      </w:r>
      <m:oMath>
        <m:r>
          <w:rPr>
            <w:rFonts w:ascii="Cambria Math" w:hAnsi="Cambria Math"/>
          </w:rPr>
          <m:t>θ</m:t>
        </m:r>
      </m:oMath>
      <w:r>
        <w:t xml:space="preserve">. In this tutorial, we demonstrate the use of Yen’s </w:t>
      </w:r>
      <w:r>
        <w:rPr>
          <w:i/>
          <w:iCs/>
        </w:rPr>
        <w:t>Q</w:t>
      </w:r>
      <w:r>
        <w:rPr>
          <w:vertAlign w:val="subscript"/>
        </w:rPr>
        <w:t>3</w:t>
      </w:r>
      <w:r>
        <w:t xml:space="preserve"> statistics (Yen, 1984), which is considered more powerful for detecting underlying local dependency than LD $\chi$</w:t>
      </w:r>
      <w:r>
        <w:rPr>
          <w:vertAlign w:val="superscript"/>
        </w:rPr>
        <w:t>2</w:t>
      </w:r>
      <w:r>
        <w:t xml:space="preserve"> statistics (Chen &amp; Thissen, 1997). To run Yen’s </w:t>
      </w:r>
      <w:r>
        <w:rPr>
          <w:i/>
          <w:iCs/>
        </w:rPr>
        <w:t>Q</w:t>
      </w:r>
      <w:r>
        <w:rPr>
          <w:vertAlign w:val="subscript"/>
        </w:rPr>
        <w:t>3</w:t>
      </w:r>
      <w:r>
        <w:t>, readers can type and run this command:</w:t>
      </w:r>
    </w:p>
    <w:p w14:paraId="6EAF4117" w14:textId="77777777" w:rsidR="00AD4A06" w:rsidRDefault="00634CB6">
      <w:pPr>
        <w:pStyle w:val="SourceCode"/>
      </w:pPr>
      <w:r>
        <w:rPr>
          <w:rStyle w:val="NormalTok"/>
        </w:rPr>
        <w:t xml:space="preserve">q3 </w:t>
      </w:r>
      <w:r>
        <w:rPr>
          <w:rStyle w:val="OtherTok"/>
        </w:rPr>
        <w:t>&lt;-</w:t>
      </w:r>
      <w:r>
        <w:rPr>
          <w:rStyle w:val="NormalTok"/>
        </w:rPr>
        <w:t xml:space="preserve"> </w:t>
      </w:r>
      <w:r>
        <w:rPr>
          <w:rStyle w:val="FunctionTok"/>
        </w:rPr>
        <w:t>residuals</w:t>
      </w:r>
      <w:r>
        <w:rPr>
          <w:rStyle w:val="NormalTok"/>
        </w:rPr>
        <w:t xml:space="preserve">(fit, </w:t>
      </w:r>
      <w:r>
        <w:rPr>
          <w:rStyle w:val="AttributeTok"/>
        </w:rPr>
        <w:t>type =</w:t>
      </w:r>
      <w:r>
        <w:rPr>
          <w:rStyle w:val="NormalTok"/>
        </w:rPr>
        <w:t xml:space="preserve"> </w:t>
      </w:r>
      <w:r>
        <w:rPr>
          <w:rStyle w:val="StringTok"/>
        </w:rPr>
        <w:t>"Q3"</w:t>
      </w:r>
      <w:r>
        <w:rPr>
          <w:rStyle w:val="NormalTok"/>
        </w:rPr>
        <w:t xml:space="preserve">) </w:t>
      </w:r>
      <w:r>
        <w:rPr>
          <w:rStyle w:val="CommentTok"/>
        </w:rPr>
        <w:t># Running Yen's Q3 statistics.</w:t>
      </w:r>
    </w:p>
    <w:p w14:paraId="02F95F43" w14:textId="77777777" w:rsidR="00AD4A06" w:rsidRDefault="00634CB6">
      <w:pPr>
        <w:pStyle w:val="FirstParagraph"/>
      </w:pPr>
      <w:r>
        <w:t xml:space="preserve">This code asks R to run </w:t>
      </w:r>
      <w:r>
        <w:rPr>
          <w:rStyle w:val="VerbatimChar"/>
        </w:rPr>
        <w:t>residuals()</w:t>
      </w:r>
      <w:r>
        <w:t xml:space="preserve"> function using </w:t>
      </w:r>
      <w:r>
        <w:rPr>
          <w:rStyle w:val="VerbatimChar"/>
        </w:rPr>
        <w:t>"Q3"</w:t>
      </w:r>
      <w:r>
        <w:t xml:space="preserve"> as the </w:t>
      </w:r>
      <w:r>
        <w:rPr>
          <w:rStyle w:val="VerbatimChar"/>
        </w:rPr>
        <w:t>type</w:t>
      </w:r>
      <w:r>
        <w:t xml:space="preserve">, and then, keep the value as a new matrix, namely </w:t>
      </w:r>
      <w:r>
        <w:rPr>
          <w:rStyle w:val="VerbatimChar"/>
        </w:rPr>
        <w:t>q3</w:t>
      </w:r>
      <w:r>
        <w:t xml:space="preserve">. Again, we are only interested in item pairwise correlations above |0.2|, and to help us flag problematic pairs, we can make use of </w:t>
      </w:r>
      <w:r>
        <w:rPr>
          <w:rStyle w:val="VerbatimChar"/>
        </w:rPr>
        <w:t>findCorrelation()</w:t>
      </w:r>
      <w:r>
        <w:t xml:space="preserve"> function from </w:t>
      </w:r>
      <w:r>
        <w:rPr>
          <w:i/>
          <w:iCs/>
        </w:rPr>
        <w:t>caret</w:t>
      </w:r>
      <w:r>
        <w:t xml:space="preserve"> package (Kuhn, 2024) as follows:</w:t>
      </w:r>
    </w:p>
    <w:p w14:paraId="3E97F6A1" w14:textId="77777777" w:rsidR="00AD4A06" w:rsidRDefault="00634CB6">
      <w:pPr>
        <w:pStyle w:val="SourceCode"/>
      </w:pPr>
      <w:r>
        <w:rPr>
          <w:rStyle w:val="FunctionTok"/>
        </w:rPr>
        <w:t>findCorrelation</w:t>
      </w:r>
      <w:r>
        <w:rPr>
          <w:rStyle w:val="NormalTok"/>
        </w:rPr>
        <w:t xml:space="preserve">(q3, </w:t>
      </w:r>
      <w:r>
        <w:rPr>
          <w:rStyle w:val="AttributeTok"/>
        </w:rPr>
        <w:t>cutoff =</w:t>
      </w:r>
      <w:r>
        <w:rPr>
          <w:rStyle w:val="NormalTok"/>
        </w:rPr>
        <w:t xml:space="preserve"> </w:t>
      </w:r>
      <w:r>
        <w:rPr>
          <w:rStyle w:val="FloatTok"/>
        </w:rPr>
        <w:t>0.2</w:t>
      </w:r>
      <w:r>
        <w:rPr>
          <w:rStyle w:val="NormalTok"/>
        </w:rPr>
        <w:t xml:space="preserve">, </w:t>
      </w:r>
      <w:r>
        <w:rPr>
          <w:rStyle w:val="AttributeTok"/>
        </w:rPr>
        <w:t>verbose =</w:t>
      </w:r>
      <w:r>
        <w:rPr>
          <w:rStyle w:val="NormalTok"/>
        </w:rPr>
        <w:t xml:space="preserve"> T) </w:t>
      </w:r>
      <w:r>
        <w:rPr>
          <w:rStyle w:val="CommentTok"/>
        </w:rPr>
        <w:t># Flagging problematic item pairwise correlations.</w:t>
      </w:r>
    </w:p>
    <w:p w14:paraId="3EBF4227" w14:textId="77777777" w:rsidR="00AD4A06" w:rsidRDefault="00634CB6">
      <w:pPr>
        <w:pStyle w:val="FirstParagraph"/>
      </w:pPr>
      <w:r>
        <w:t xml:space="preserve">After running the code, readers may see in their R console that residual correlations between item Q3, Q4, Q5, Q7, Q11, Q13, Q14, Q18, Q19, and Q21 are above |0.2|. Interestingly, all of those items, except for Q4, have significant </w:t>
      </w:r>
      <w:r>
        <w:rPr>
          <w:i/>
          <w:iCs/>
        </w:rPr>
        <w:t>S</w:t>
      </w:r>
      <w:r>
        <w:t>-$\chi$</w:t>
      </w:r>
      <w:r>
        <w:rPr>
          <w:vertAlign w:val="superscript"/>
        </w:rPr>
        <w:t>2</w:t>
      </w:r>
      <w:r>
        <w:t xml:space="preserve"> statistics (see {apatb-table5}) as well, which tells us that we have to look at these items closely and then decide whether these items have shared characteristics beyond what is explained by the model.</w:t>
      </w:r>
    </w:p>
    <w:p w14:paraId="7E9A2012" w14:textId="77777777" w:rsidR="00AD4A06" w:rsidRDefault="00634CB6">
      <w:pPr>
        <w:pStyle w:val="Heading2"/>
      </w:pPr>
      <w:bookmarkStart w:id="16" w:name="step-6-irt-plots"/>
      <w:bookmarkEnd w:id="15"/>
      <w:r>
        <w:lastRenderedPageBreak/>
        <w:t>Step 6: IRT Plots</w:t>
      </w:r>
    </w:p>
    <w:p w14:paraId="22C697CC" w14:textId="77777777" w:rsidR="00AD4A06" w:rsidRDefault="00634CB6">
      <w:pPr>
        <w:pStyle w:val="FirstParagraph"/>
      </w:pPr>
      <w:r>
        <w:rPr>
          <w:i/>
          <w:iCs/>
        </w:rPr>
        <w:t>mirt</w:t>
      </w:r>
      <w:r>
        <w:t xml:space="preserve"> offers features to visualize model parameters but the options for customizing these plots are rather limited. </w:t>
      </w:r>
      <w:r>
        <w:rPr>
          <w:i/>
          <w:iCs/>
        </w:rPr>
        <w:t>ggmirt</w:t>
      </w:r>
      <w:r>
        <w:t xml:space="preserve"> package fills this gap by combining </w:t>
      </w:r>
      <w:r>
        <w:rPr>
          <w:i/>
          <w:iCs/>
        </w:rPr>
        <w:t>mirt</w:t>
      </w:r>
      <w:r>
        <w:t xml:space="preserve"> and </w:t>
      </w:r>
      <w:r>
        <w:rPr>
          <w:i/>
          <w:iCs/>
        </w:rPr>
        <w:t>ggplot2</w:t>
      </w:r>
      <w:r>
        <w:t xml:space="preserve"> functions. In this tutorial, we demonstrate the use of </w:t>
      </w:r>
      <w:r>
        <w:rPr>
          <w:i/>
          <w:iCs/>
        </w:rPr>
        <w:t>ggmirt</w:t>
      </w:r>
      <w:r>
        <w:t xml:space="preserve"> to visualize Item Probability Function (IPF), Item Information Function (IIF), Test Information Function (TIF), and conditional probability plot.</w:t>
      </w:r>
    </w:p>
    <w:p w14:paraId="2570C067" w14:textId="77777777" w:rsidR="00AD4A06" w:rsidRDefault="00634CB6">
      <w:pPr>
        <w:pStyle w:val="BodyText"/>
      </w:pPr>
      <w:r>
        <w:t>To visualize IPF, readers can type and run this function:</w:t>
      </w:r>
    </w:p>
    <w:p w14:paraId="35190433" w14:textId="77777777" w:rsidR="00AD4A06" w:rsidRDefault="00634CB6">
      <w:pPr>
        <w:pStyle w:val="SourceCode"/>
      </w:pPr>
      <w:r>
        <w:rPr>
          <w:rStyle w:val="FunctionTok"/>
        </w:rPr>
        <w:t>tracePlot</w:t>
      </w:r>
      <w:r>
        <w:rPr>
          <w:rStyle w:val="NormalTok"/>
        </w:rPr>
        <w:t xml:space="preserve">(fit, </w:t>
      </w:r>
      <w:r>
        <w:rPr>
          <w:rStyle w:val="AttributeTok"/>
        </w:rPr>
        <w:t>title =</w:t>
      </w:r>
      <w:r>
        <w:rPr>
          <w:rStyle w:val="NormalTok"/>
        </w:rPr>
        <w:t xml:space="preserve"> </w:t>
      </w:r>
      <w:r>
        <w:rPr>
          <w:rStyle w:val="StringTok"/>
        </w:rPr>
        <w:t>"Item Probability Functions of RWA Scale"</w:t>
      </w:r>
      <w:r>
        <w:rPr>
          <w:rStyle w:val="NormalTok"/>
        </w:rPr>
        <w:t xml:space="preserve">) </w:t>
      </w:r>
      <w:r>
        <w:rPr>
          <w:rStyle w:val="SpecialCharTok"/>
        </w:rPr>
        <w:t>+</w:t>
      </w:r>
      <w:r>
        <w:rPr>
          <w:rStyle w:val="NormalTok"/>
        </w:rPr>
        <w:t xml:space="preserve"> </w:t>
      </w:r>
      <w:r>
        <w:rPr>
          <w:rStyle w:val="FunctionTok"/>
        </w:rPr>
        <w:t>labs</w:t>
      </w:r>
      <w:r>
        <w:rPr>
          <w:rStyle w:val="NormalTok"/>
        </w:rPr>
        <w:t>(</w:t>
      </w:r>
      <w:r>
        <w:rPr>
          <w:rStyle w:val="AttributeTok"/>
        </w:rPr>
        <w:t>color=</w:t>
      </w:r>
      <w:r>
        <w:rPr>
          <w:rStyle w:val="StringTok"/>
        </w:rPr>
        <w:t>"Response Categories"</w:t>
      </w:r>
      <w:r>
        <w:rPr>
          <w:rStyle w:val="NormalTok"/>
        </w:rPr>
        <w:t>)</w:t>
      </w:r>
    </w:p>
    <w:p w14:paraId="0480DB17" w14:textId="77777777" w:rsidR="00AD4A06" w:rsidRDefault="00634CB6">
      <w:pPr>
        <w:pStyle w:val="FirstParagraph"/>
      </w:pPr>
      <w:r>
        <w:t xml:space="preserve">The </w:t>
      </w:r>
      <w:r>
        <w:rPr>
          <w:rStyle w:val="VerbatimChar"/>
        </w:rPr>
        <w:t>labs(color)</w:t>
      </w:r>
      <w:r>
        <w:t xml:space="preserve"> function is to assign different colors to each curve representing a response category. The output of this function is Figure 3. In Figure 3, we see that as </w:t>
      </w:r>
      <m:oMath>
        <m:r>
          <w:rPr>
            <w:rFonts w:ascii="Cambria Math" w:hAnsi="Cambria Math"/>
          </w:rPr>
          <m:t>θ</m:t>
        </m:r>
      </m:oMath>
      <w:r>
        <w:t xml:space="preserve"> increases, respondents are more likely to choose higher response categories. The gradual transition from one response option to the next across the spectrum of </w:t>
      </w:r>
      <m:oMath>
        <m:r>
          <w:rPr>
            <w:rFonts w:ascii="Cambria Math" w:hAnsi="Cambria Math"/>
          </w:rPr>
          <m:t>θ</m:t>
        </m:r>
      </m:oMath>
      <w:r>
        <w:t xml:space="preserve"> values indicates that the items are capturing incremental increases in the RWA level. However, all IPFs of RWA items seem to be significantly overlapping and tend to peak on a </w:t>
      </w:r>
      <m:oMath>
        <m:r>
          <w:rPr>
            <w:rFonts w:ascii="Cambria Math" w:hAnsi="Cambria Math"/>
          </w:rPr>
          <m:t>θ</m:t>
        </m:r>
      </m:oMath>
      <w:r>
        <w:t xml:space="preserve"> value close to or higher than the mean. This implies that RWA items are more sensitive to differentiate participants with high levels of RWA.</w:t>
      </w:r>
    </w:p>
    <w:p w14:paraId="4B94D5A5" w14:textId="77777777" w:rsidR="00AD4A06" w:rsidRDefault="00634CB6">
      <w:r>
        <w:br w:type="page"/>
      </w:r>
    </w:p>
    <w:p w14:paraId="605B6AC4" w14:textId="77777777" w:rsidR="00AD4A06" w:rsidRDefault="00634CB6">
      <w:pPr>
        <w:pStyle w:val="FigureTitle"/>
      </w:pPr>
      <w:bookmarkStart w:id="17" w:name="apafg-fig3"/>
      <w:r>
        <w:lastRenderedPageBreak/>
        <w:t>Figure 3</w:t>
      </w:r>
    </w:p>
    <w:bookmarkEnd w:id="17"/>
    <w:p w14:paraId="00BAA5B3" w14:textId="77777777" w:rsidR="00AD4A06" w:rsidRDefault="00634CB6">
      <w:pPr>
        <w:pStyle w:val="Caption"/>
      </w:pPr>
      <w:r>
        <w:t>Item Probability Functions of RWA Scale</w:t>
      </w:r>
    </w:p>
    <w:p w14:paraId="3DEEC669" w14:textId="77777777" w:rsidR="00AD4A06" w:rsidRDefault="00634CB6">
      <w:pPr>
        <w:pStyle w:val="FigureWithoutNote"/>
      </w:pPr>
      <w:r>
        <w:rPr>
          <w:noProof/>
        </w:rPr>
        <w:drawing>
          <wp:inline distT="0" distB="0" distL="0" distR="0" wp14:anchorId="208D4976" wp14:editId="07777777">
            <wp:extent cx="5943600" cy="5943600"/>
            <wp:effectExtent l="0" t="0" r="0" b="0"/>
            <wp:docPr id="53" name="Picture"/>
            <wp:cNvGraphicFramePr/>
            <a:graphic xmlns:a="http://schemas.openxmlformats.org/drawingml/2006/main">
              <a:graphicData uri="http://schemas.openxmlformats.org/drawingml/2006/picture">
                <pic:pic xmlns:pic="http://schemas.openxmlformats.org/drawingml/2006/picture">
                  <pic:nvPicPr>
                    <pic:cNvPr id="54" name="Picture" descr="manuscript_files/figure-docx/apafg-fig3-1.png"/>
                    <pic:cNvPicPr>
                      <a:picLocks noChangeAspect="1" noChangeArrowheads="1"/>
                    </pic:cNvPicPr>
                  </pic:nvPicPr>
                  <pic:blipFill>
                    <a:blip r:embed="rId11"/>
                    <a:stretch>
                      <a:fillRect/>
                    </a:stretch>
                  </pic:blipFill>
                  <pic:spPr bwMode="auto">
                    <a:xfrm>
                      <a:off x="0" y="0"/>
                      <a:ext cx="5943600" cy="5943600"/>
                    </a:xfrm>
                    <a:prstGeom prst="rect">
                      <a:avLst/>
                    </a:prstGeom>
                    <a:noFill/>
                    <a:ln w="9525">
                      <a:noFill/>
                      <a:headEnd/>
                      <a:tailEnd/>
                    </a:ln>
                  </pic:spPr>
                </pic:pic>
              </a:graphicData>
            </a:graphic>
          </wp:inline>
        </w:drawing>
      </w:r>
    </w:p>
    <w:p w14:paraId="3656B9AB" w14:textId="77777777" w:rsidR="00AD4A06" w:rsidRDefault="00634CB6">
      <w:r>
        <w:br w:type="page"/>
      </w:r>
    </w:p>
    <w:p w14:paraId="4EF5D2A9" w14:textId="77777777" w:rsidR="00AD4A06" w:rsidRDefault="00634CB6">
      <w:pPr>
        <w:pStyle w:val="BodyText"/>
      </w:pPr>
      <w:r>
        <w:lastRenderedPageBreak/>
        <w:t>To evaluate the performance of each item in measuring the RWA trait, we can visualize the amount of information explained by each item with this simple line of code:</w:t>
      </w:r>
    </w:p>
    <w:p w14:paraId="0ECA6DBB" w14:textId="77777777" w:rsidR="00AD4A06" w:rsidRDefault="00634CB6">
      <w:pPr>
        <w:pStyle w:val="SourceCode"/>
      </w:pPr>
      <w:r>
        <w:rPr>
          <w:rStyle w:val="FunctionTok"/>
        </w:rPr>
        <w:t>itemInfoPlot</w:t>
      </w:r>
      <w:r>
        <w:rPr>
          <w:rStyle w:val="NormalTok"/>
        </w:rPr>
        <w:t xml:space="preserve">(fit, </w:t>
      </w:r>
      <w:r>
        <w:rPr>
          <w:rStyle w:val="AttributeTok"/>
        </w:rPr>
        <w:t>facet =</w:t>
      </w:r>
      <w:r>
        <w:rPr>
          <w:rStyle w:val="NormalTok"/>
        </w:rPr>
        <w:t xml:space="preserve"> </w:t>
      </w:r>
      <w:r>
        <w:rPr>
          <w:rStyle w:val="ConstantTok"/>
        </w:rPr>
        <w:t>TRUE</w:t>
      </w:r>
      <w:r>
        <w:rPr>
          <w:rStyle w:val="NormalTok"/>
        </w:rPr>
        <w:t xml:space="preserve">, </w:t>
      </w:r>
      <w:r>
        <w:rPr>
          <w:rStyle w:val="AttributeTok"/>
        </w:rPr>
        <w:t>title =</w:t>
      </w:r>
      <w:r>
        <w:rPr>
          <w:rStyle w:val="NormalTok"/>
        </w:rPr>
        <w:t xml:space="preserve"> </w:t>
      </w:r>
      <w:r>
        <w:rPr>
          <w:rStyle w:val="StringTok"/>
        </w:rPr>
        <w:t>"Item Information Functions of the RWA Scale"</w:t>
      </w:r>
      <w:r>
        <w:rPr>
          <w:rStyle w:val="NormalTok"/>
        </w:rPr>
        <w:t>)</w:t>
      </w:r>
    </w:p>
    <w:p w14:paraId="7AB1CAA4" w14:textId="77777777" w:rsidR="00AD4A06" w:rsidRDefault="00634CB6">
      <w:pPr>
        <w:pStyle w:val="FirstParagraph"/>
      </w:pPr>
      <w:r>
        <w:t xml:space="preserve">The </w:t>
      </w:r>
      <w:r>
        <w:rPr>
          <w:rStyle w:val="VerbatimChar"/>
        </w:rPr>
        <w:t>facet</w:t>
      </w:r>
      <w:r>
        <w:t xml:space="preserve"> option is set to </w:t>
      </w:r>
      <w:r>
        <w:rPr>
          <w:rStyle w:val="VerbatimChar"/>
        </w:rPr>
        <w:t>TRUE</w:t>
      </w:r>
      <w:r>
        <w:t xml:space="preserve"> so that R displays IIF for each item. The output for this function is Figure 4 where the x-axis represents the range of </w:t>
      </w:r>
      <m:oMath>
        <m:r>
          <w:rPr>
            <w:rFonts w:ascii="Cambria Math" w:hAnsi="Cambria Math"/>
          </w:rPr>
          <m:t>θ</m:t>
        </m:r>
      </m:oMath>
      <w:r>
        <w:t xml:space="preserve">, and the y-axis indicates the amount of information provided by each item. Peaks that are higher and narrower indicate items that are very informative for specific levels of </w:t>
      </w:r>
      <m:oMath>
        <m:r>
          <w:rPr>
            <w:rFonts w:ascii="Cambria Math" w:hAnsi="Cambria Math"/>
          </w:rPr>
          <m:t>θ</m:t>
        </m:r>
      </m:oMath>
      <w:r>
        <w:t xml:space="preserve">. In our case, most items provide the highest amount of information near the center to the right side of the </w:t>
      </w:r>
      <m:oMath>
        <m:r>
          <w:rPr>
            <w:rFonts w:ascii="Cambria Math" w:hAnsi="Cambria Math"/>
          </w:rPr>
          <m:t>θ</m:t>
        </m:r>
      </m:oMath>
      <w:r>
        <w:t xml:space="preserve"> distribution, indicating they are most useful for individuals with average to high levels of RWA.</w:t>
      </w:r>
    </w:p>
    <w:p w14:paraId="45FB0818" w14:textId="77777777" w:rsidR="00AD4A06" w:rsidRDefault="00634CB6">
      <w:r>
        <w:br w:type="page"/>
      </w:r>
    </w:p>
    <w:p w14:paraId="05DB2295" w14:textId="77777777" w:rsidR="00AD4A06" w:rsidRDefault="00634CB6">
      <w:pPr>
        <w:pStyle w:val="FigureTitle"/>
      </w:pPr>
      <w:bookmarkStart w:id="18" w:name="apafg-fig4"/>
      <w:r>
        <w:lastRenderedPageBreak/>
        <w:t>Figure 4</w:t>
      </w:r>
    </w:p>
    <w:bookmarkEnd w:id="18"/>
    <w:p w14:paraId="233753A6" w14:textId="77777777" w:rsidR="00AD4A06" w:rsidRDefault="00634CB6">
      <w:pPr>
        <w:pStyle w:val="Caption"/>
      </w:pPr>
      <w:r>
        <w:t>Item Information Curves of the RWA Scale</w:t>
      </w:r>
    </w:p>
    <w:p w14:paraId="049F31CB" w14:textId="77777777" w:rsidR="00AD4A06" w:rsidRDefault="00634CB6">
      <w:pPr>
        <w:pStyle w:val="FigureWithoutNote"/>
      </w:pPr>
      <w:r>
        <w:rPr>
          <w:noProof/>
        </w:rPr>
        <w:drawing>
          <wp:inline distT="0" distB="0" distL="0" distR="0" wp14:anchorId="283BDD8A" wp14:editId="07777777">
            <wp:extent cx="5943600" cy="5943600"/>
            <wp:effectExtent l="0" t="0" r="0" b="0"/>
            <wp:docPr id="57" name="Picture"/>
            <wp:cNvGraphicFramePr/>
            <a:graphic xmlns:a="http://schemas.openxmlformats.org/drawingml/2006/main">
              <a:graphicData uri="http://schemas.openxmlformats.org/drawingml/2006/picture">
                <pic:pic xmlns:pic="http://schemas.openxmlformats.org/drawingml/2006/picture">
                  <pic:nvPicPr>
                    <pic:cNvPr id="58" name="Picture" descr="manuscript_files/figure-docx/apafg-fig4-1.png"/>
                    <pic:cNvPicPr>
                      <a:picLocks noChangeAspect="1" noChangeArrowheads="1"/>
                    </pic:cNvPicPr>
                  </pic:nvPicPr>
                  <pic:blipFill>
                    <a:blip r:embed="rId12"/>
                    <a:stretch>
                      <a:fillRect/>
                    </a:stretch>
                  </pic:blipFill>
                  <pic:spPr bwMode="auto">
                    <a:xfrm>
                      <a:off x="0" y="0"/>
                      <a:ext cx="5943600" cy="5943600"/>
                    </a:xfrm>
                    <a:prstGeom prst="rect">
                      <a:avLst/>
                    </a:prstGeom>
                    <a:noFill/>
                    <a:ln w="9525">
                      <a:noFill/>
                      <a:headEnd/>
                      <a:tailEnd/>
                    </a:ln>
                  </pic:spPr>
                </pic:pic>
              </a:graphicData>
            </a:graphic>
          </wp:inline>
        </w:drawing>
      </w:r>
    </w:p>
    <w:p w14:paraId="53128261" w14:textId="77777777" w:rsidR="00AD4A06" w:rsidRDefault="00634CB6">
      <w:r>
        <w:br w:type="page"/>
      </w:r>
    </w:p>
    <w:p w14:paraId="1C8AFD40" w14:textId="77777777" w:rsidR="00AD4A06" w:rsidRDefault="00634CB6">
      <w:pPr>
        <w:pStyle w:val="BodyText"/>
      </w:pPr>
      <w:r>
        <w:lastRenderedPageBreak/>
        <w:t>It is also possible to evaluate the overall performance of the RWA scale by plotting a TIF, which can be done by running the following code:</w:t>
      </w:r>
    </w:p>
    <w:p w14:paraId="6C5FF1D9" w14:textId="77777777" w:rsidR="00AD4A06" w:rsidRDefault="00634CB6">
      <w:pPr>
        <w:pStyle w:val="SourceCode"/>
      </w:pPr>
      <w:r>
        <w:rPr>
          <w:rStyle w:val="FunctionTok"/>
        </w:rPr>
        <w:t>testInfoPlot</w:t>
      </w:r>
      <w:r>
        <w:rPr>
          <w:rStyle w:val="NormalTok"/>
        </w:rPr>
        <w:t xml:space="preserve">(fit, </w:t>
      </w:r>
      <w:r>
        <w:rPr>
          <w:rStyle w:val="AttributeTok"/>
        </w:rPr>
        <w:t>title =</w:t>
      </w:r>
      <w:r>
        <w:rPr>
          <w:rStyle w:val="NormalTok"/>
        </w:rPr>
        <w:t xml:space="preserve"> </w:t>
      </w:r>
      <w:r>
        <w:rPr>
          <w:rStyle w:val="StringTok"/>
        </w:rPr>
        <w:t>"Test Information Function of the RWA Scale"</w:t>
      </w:r>
      <w:r>
        <w:rPr>
          <w:rStyle w:val="NormalTok"/>
        </w:rPr>
        <w:t>)</w:t>
      </w:r>
    </w:p>
    <w:p w14:paraId="27B796BB" w14:textId="77777777" w:rsidR="00AD4A06" w:rsidRDefault="00634CB6">
      <w:pPr>
        <w:pStyle w:val="FirstParagraph"/>
      </w:pPr>
      <w:r>
        <w:t>The output of this code is Figure 5, and according to this, the RWA scale as a whole is informative for measuring a group of individuals with a wide range of RWA levels, i.e., between -2</w:t>
      </w:r>
      <w:r>
        <w:rPr>
          <w:i/>
          <w:iCs/>
        </w:rPr>
        <w:t>SD</w:t>
      </w:r>
      <w:r>
        <w:t xml:space="preserve"> to +4</w:t>
      </w:r>
      <w:r>
        <w:rPr>
          <w:i/>
          <w:iCs/>
        </w:rPr>
        <w:t>SD</w:t>
      </w:r>
      <w:r>
        <w:t>. However, the RWA scale is not optimal for measuring individuals with RWA levels below or beyond this range.</w:t>
      </w:r>
    </w:p>
    <w:p w14:paraId="62486C05" w14:textId="77777777" w:rsidR="00AD4A06" w:rsidRDefault="00634CB6">
      <w:r>
        <w:br w:type="page"/>
      </w:r>
    </w:p>
    <w:p w14:paraId="2624EE56" w14:textId="77777777" w:rsidR="00AD4A06" w:rsidRDefault="00634CB6">
      <w:pPr>
        <w:pStyle w:val="FigureTitle"/>
      </w:pPr>
      <w:bookmarkStart w:id="19" w:name="apafg-fig5"/>
      <w:r>
        <w:lastRenderedPageBreak/>
        <w:t>Figure 5</w:t>
      </w:r>
    </w:p>
    <w:bookmarkEnd w:id="19"/>
    <w:p w14:paraId="35FE6196" w14:textId="77777777" w:rsidR="00AD4A06" w:rsidRDefault="00634CB6">
      <w:pPr>
        <w:pStyle w:val="Caption"/>
      </w:pPr>
      <w:r>
        <w:t>Test Information Curve of the RWA Scale</w:t>
      </w:r>
    </w:p>
    <w:p w14:paraId="4101652C" w14:textId="77777777" w:rsidR="00AD4A06" w:rsidRDefault="00634CB6">
      <w:pPr>
        <w:pStyle w:val="FigureWithoutNote"/>
      </w:pPr>
      <w:r>
        <w:rPr>
          <w:noProof/>
        </w:rPr>
        <w:drawing>
          <wp:inline distT="0" distB="0" distL="0" distR="0" wp14:anchorId="521F3284" wp14:editId="07777777">
            <wp:extent cx="5943600" cy="5943600"/>
            <wp:effectExtent l="0" t="0" r="0" b="0"/>
            <wp:docPr id="61" name="Picture"/>
            <wp:cNvGraphicFramePr/>
            <a:graphic xmlns:a="http://schemas.openxmlformats.org/drawingml/2006/main">
              <a:graphicData uri="http://schemas.openxmlformats.org/drawingml/2006/picture">
                <pic:pic xmlns:pic="http://schemas.openxmlformats.org/drawingml/2006/picture">
                  <pic:nvPicPr>
                    <pic:cNvPr id="62" name="Picture" descr="manuscript_files/figure-docx/apafg-fig5-1.png"/>
                    <pic:cNvPicPr>
                      <a:picLocks noChangeAspect="1" noChangeArrowheads="1"/>
                    </pic:cNvPicPr>
                  </pic:nvPicPr>
                  <pic:blipFill>
                    <a:blip r:embed="rId13"/>
                    <a:stretch>
                      <a:fillRect/>
                    </a:stretch>
                  </pic:blipFill>
                  <pic:spPr bwMode="auto">
                    <a:xfrm>
                      <a:off x="0" y="0"/>
                      <a:ext cx="5943600" cy="5943600"/>
                    </a:xfrm>
                    <a:prstGeom prst="rect">
                      <a:avLst/>
                    </a:prstGeom>
                    <a:noFill/>
                    <a:ln w="9525">
                      <a:noFill/>
                      <a:headEnd/>
                      <a:tailEnd/>
                    </a:ln>
                  </pic:spPr>
                </pic:pic>
              </a:graphicData>
            </a:graphic>
          </wp:inline>
        </w:drawing>
      </w:r>
    </w:p>
    <w:p w14:paraId="4B99056E" w14:textId="77777777" w:rsidR="00AD4A06" w:rsidRDefault="00634CB6">
      <w:r>
        <w:br w:type="page"/>
      </w:r>
    </w:p>
    <w:p w14:paraId="4DEE0B68" w14:textId="77777777" w:rsidR="00AD4A06" w:rsidRDefault="00634CB6">
      <w:pPr>
        <w:pStyle w:val="Heading2"/>
      </w:pPr>
      <w:bookmarkStart w:id="20" w:name="step-7-computing-reliability"/>
      <w:bookmarkEnd w:id="16"/>
      <w:r>
        <w:lastRenderedPageBreak/>
        <w:t>Step 7: Computing Reliability</w:t>
      </w:r>
    </w:p>
    <w:p w14:paraId="1A776A58" w14:textId="77777777" w:rsidR="00AD4A06" w:rsidRDefault="00634CB6">
      <w:pPr>
        <w:pStyle w:val="FirstParagraph"/>
      </w:pPr>
      <w:r>
        <w:t xml:space="preserve">The heart of an IRT analysis is to estimate the precision of the measure, which can vary given different levels of </w:t>
      </w:r>
      <m:oMath>
        <m:r>
          <w:rPr>
            <w:rFonts w:ascii="Cambria Math" w:hAnsi="Cambria Math"/>
          </w:rPr>
          <m:t>θ</m:t>
        </m:r>
      </m:oMath>
      <w:r>
        <w:t xml:space="preserve">. </w:t>
      </w:r>
      <w:r>
        <w:rPr>
          <w:i/>
          <w:iCs/>
        </w:rPr>
        <w:t>mirt</w:t>
      </w:r>
      <w:r>
        <w:t xml:space="preserve"> provides two strategies to compute reliability that differ in their assumption regarding the distribution of </w:t>
      </w:r>
      <m:oMath>
        <m:r>
          <w:rPr>
            <w:rFonts w:ascii="Cambria Math" w:hAnsi="Cambria Math"/>
          </w:rPr>
          <m:t>θ</m:t>
        </m:r>
      </m:oMath>
      <w:r>
        <w:t>. First, readers may calculate marginal reliability by running this simple command:</w:t>
      </w:r>
    </w:p>
    <w:p w14:paraId="26C1E659" w14:textId="77777777" w:rsidR="00AD4A06" w:rsidRDefault="00634CB6">
      <w:pPr>
        <w:pStyle w:val="SourceCode"/>
      </w:pPr>
      <w:r>
        <w:rPr>
          <w:rStyle w:val="FunctionTok"/>
        </w:rPr>
        <w:t>marginal_rxx</w:t>
      </w:r>
      <w:r>
        <w:rPr>
          <w:rStyle w:val="NormalTok"/>
        </w:rPr>
        <w:t>(fit)</w:t>
      </w:r>
    </w:p>
    <w:p w14:paraId="30AE5CD1" w14:textId="77777777" w:rsidR="00AD4A06" w:rsidRDefault="00634CB6">
      <w:pPr>
        <w:pStyle w:val="FirstParagraph"/>
      </w:pPr>
      <w:r>
        <w:t xml:space="preserve">The output of the above code is 0.948, which indicates that the overall RWA scale is reliable, assuming that the underlying </w:t>
      </w:r>
      <m:oMath>
        <m:r>
          <w:rPr>
            <w:rFonts w:ascii="Cambria Math" w:hAnsi="Cambria Math"/>
          </w:rPr>
          <m:t>θ</m:t>
        </m:r>
      </m:oMath>
      <w:r>
        <w:t xml:space="preserve"> distribution follows the Gaussian or normal distribution. Since reliability can vary across different levels of </w:t>
      </w:r>
      <m:oMath>
        <m:r>
          <w:rPr>
            <w:rFonts w:ascii="Cambria Math" w:hAnsi="Cambria Math"/>
          </w:rPr>
          <m:t>θ</m:t>
        </m:r>
      </m:oMath>
      <w:r>
        <w:t xml:space="preserve">, readers can also visualize the scale’s reliability given the levels of </w:t>
      </w:r>
      <m:oMath>
        <m:r>
          <w:rPr>
            <w:rFonts w:ascii="Cambria Math" w:hAnsi="Cambria Math"/>
          </w:rPr>
          <m:t>θ</m:t>
        </m:r>
      </m:oMath>
      <w:r>
        <w:t xml:space="preserve"> by running the function of </w:t>
      </w:r>
      <w:r>
        <w:rPr>
          <w:i/>
          <w:iCs/>
        </w:rPr>
        <w:t>ggmirt</w:t>
      </w:r>
      <w:r>
        <w:t xml:space="preserve"> package, as follows:</w:t>
      </w:r>
    </w:p>
    <w:p w14:paraId="482BD629" w14:textId="77777777" w:rsidR="00AD4A06" w:rsidRDefault="00634CB6">
      <w:pPr>
        <w:pStyle w:val="SourceCode"/>
      </w:pPr>
      <w:r>
        <w:rPr>
          <w:rStyle w:val="FunctionTok"/>
        </w:rPr>
        <w:t>conRelPlot</w:t>
      </w:r>
      <w:r>
        <w:rPr>
          <w:rStyle w:val="NormalTok"/>
        </w:rPr>
        <w:t xml:space="preserve">(fit, </w:t>
      </w:r>
      <w:r>
        <w:rPr>
          <w:rStyle w:val="AttributeTok"/>
        </w:rPr>
        <w:t>title =</w:t>
      </w:r>
      <w:r>
        <w:rPr>
          <w:rStyle w:val="NormalTok"/>
        </w:rPr>
        <w:t xml:space="preserve"> </w:t>
      </w:r>
      <w:r>
        <w:rPr>
          <w:rStyle w:val="StringTok"/>
        </w:rPr>
        <w:t>"Reliability of the RWA Scale Given to the θ Level"</w:t>
      </w:r>
      <w:r>
        <w:rPr>
          <w:rStyle w:val="NormalTok"/>
        </w:rPr>
        <w:t>)</w:t>
      </w:r>
    </w:p>
    <w:p w14:paraId="64826781" w14:textId="77777777" w:rsidR="00AD4A06" w:rsidRDefault="00634CB6">
      <w:pPr>
        <w:pStyle w:val="FirstParagraph"/>
      </w:pPr>
      <w:r>
        <w:t xml:space="preserve">The output of this code is Figure 6, which shows that the RWA scale can measure individuals with </w:t>
      </w:r>
      <m:oMath>
        <m:r>
          <w:rPr>
            <w:rFonts w:ascii="Cambria Math" w:hAnsi="Cambria Math"/>
          </w:rPr>
          <m:t>θ</m:t>
        </m:r>
      </m:oMath>
      <w:r>
        <w:t xml:space="preserve"> levels between -2</w:t>
      </w:r>
      <w:r>
        <w:rPr>
          <w:i/>
          <w:iCs/>
        </w:rPr>
        <w:t>SD</w:t>
      </w:r>
      <w:r>
        <w:t xml:space="preserve"> and +4</w:t>
      </w:r>
      <w:r>
        <w:rPr>
          <w:i/>
          <w:iCs/>
        </w:rPr>
        <w:t>SD</w:t>
      </w:r>
      <w:r>
        <w:t xml:space="preserve"> with sufficient reliability, i.e., </w:t>
      </w:r>
      <w:r>
        <w:rPr>
          <w:i/>
          <w:iCs/>
        </w:rPr>
        <w:t>r</w:t>
      </w:r>
      <w:r>
        <w:rPr>
          <w:vertAlign w:val="subscript"/>
        </w:rPr>
        <w:t>xx</w:t>
      </w:r>
      <w:r>
        <w:t xml:space="preserve"> </w:t>
      </w:r>
      <m:oMath>
        <m:r>
          <m:rPr>
            <m:sty m:val="p"/>
          </m:rPr>
          <w:rPr>
            <w:rFonts w:ascii="Cambria Math" w:hAnsi="Cambria Math"/>
          </w:rPr>
          <m:t>≥</m:t>
        </m:r>
      </m:oMath>
      <w:r>
        <w:t xml:space="preserve"> 0.75.</w:t>
      </w:r>
    </w:p>
    <w:p w14:paraId="1299C43A" w14:textId="77777777" w:rsidR="00AD4A06" w:rsidRDefault="00634CB6">
      <w:r>
        <w:br w:type="page"/>
      </w:r>
    </w:p>
    <w:p w14:paraId="77A50875" w14:textId="77777777" w:rsidR="00AD4A06" w:rsidRDefault="00634CB6">
      <w:pPr>
        <w:pStyle w:val="FigureTitle"/>
      </w:pPr>
      <w:bookmarkStart w:id="21" w:name="apafg-fig6"/>
      <w:r>
        <w:lastRenderedPageBreak/>
        <w:t>Figure 6</w:t>
      </w:r>
    </w:p>
    <w:bookmarkEnd w:id="21"/>
    <w:p w14:paraId="6A7047CC" w14:textId="77777777" w:rsidR="00AD4A06" w:rsidRDefault="00634CB6">
      <w:pPr>
        <w:pStyle w:val="Caption"/>
      </w:pPr>
      <w:r>
        <w:t>Reliability of the RWA Scale Given to the θ Level</w:t>
      </w:r>
    </w:p>
    <w:p w14:paraId="4DDBEF00" w14:textId="77777777" w:rsidR="00AD4A06" w:rsidRDefault="00634CB6">
      <w:pPr>
        <w:pStyle w:val="FigureWithoutNote"/>
      </w:pPr>
      <w:r>
        <w:rPr>
          <w:noProof/>
        </w:rPr>
        <w:drawing>
          <wp:inline distT="0" distB="0" distL="0" distR="0" wp14:anchorId="6C0734FB" wp14:editId="07777777">
            <wp:extent cx="5943600" cy="5943600"/>
            <wp:effectExtent l="0" t="0" r="0" b="0"/>
            <wp:docPr id="66" name="Picture"/>
            <wp:cNvGraphicFramePr/>
            <a:graphic xmlns:a="http://schemas.openxmlformats.org/drawingml/2006/main">
              <a:graphicData uri="http://schemas.openxmlformats.org/drawingml/2006/picture">
                <pic:pic xmlns:pic="http://schemas.openxmlformats.org/drawingml/2006/picture">
                  <pic:nvPicPr>
                    <pic:cNvPr id="67" name="Picture" descr="manuscript_files/figure-docx/apafg-fig6-1.png"/>
                    <pic:cNvPicPr>
                      <a:picLocks noChangeAspect="1" noChangeArrowheads="1"/>
                    </pic:cNvPicPr>
                  </pic:nvPicPr>
                  <pic:blipFill>
                    <a:blip r:embed="rId14"/>
                    <a:stretch>
                      <a:fillRect/>
                    </a:stretch>
                  </pic:blipFill>
                  <pic:spPr bwMode="auto">
                    <a:xfrm>
                      <a:off x="0" y="0"/>
                      <a:ext cx="5943600" cy="5943600"/>
                    </a:xfrm>
                    <a:prstGeom prst="rect">
                      <a:avLst/>
                    </a:prstGeom>
                    <a:noFill/>
                    <a:ln w="9525">
                      <a:noFill/>
                      <a:headEnd/>
                      <a:tailEnd/>
                    </a:ln>
                  </pic:spPr>
                </pic:pic>
              </a:graphicData>
            </a:graphic>
          </wp:inline>
        </w:drawing>
      </w:r>
    </w:p>
    <w:p w14:paraId="3461D779" w14:textId="77777777" w:rsidR="00AD4A06" w:rsidRDefault="00634CB6">
      <w:r>
        <w:br w:type="page"/>
      </w:r>
    </w:p>
    <w:p w14:paraId="2C12915F" w14:textId="77777777" w:rsidR="00AD4A06" w:rsidRDefault="00634CB6">
      <w:pPr>
        <w:pStyle w:val="BodyText"/>
      </w:pPr>
      <w:r>
        <w:rPr>
          <w:i/>
          <w:iCs/>
        </w:rPr>
        <w:lastRenderedPageBreak/>
        <w:t>mirt</w:t>
      </w:r>
      <w:r>
        <w:t xml:space="preserve"> can also calculate the RWA scale overall reliability using </w:t>
      </w:r>
      <m:oMath>
        <m:r>
          <w:rPr>
            <w:rFonts w:ascii="Cambria Math" w:hAnsi="Cambria Math"/>
          </w:rPr>
          <m:t>θ</m:t>
        </m:r>
      </m:oMath>
      <w:r>
        <w:t xml:space="preserve"> predicted by the model. To compute empirical reliability, one needs to calculate the estimated </w:t>
      </w:r>
      <m:oMath>
        <m:r>
          <w:rPr>
            <w:rFonts w:ascii="Cambria Math" w:hAnsi="Cambria Math"/>
          </w:rPr>
          <m:t>θ</m:t>
        </m:r>
      </m:oMath>
      <w:r>
        <w:t xml:space="preserve"> value of each participant first, and then, calculate reliability based on these values. To do this, readers can run these two lines of codes:</w:t>
      </w:r>
    </w:p>
    <w:p w14:paraId="289FB44B" w14:textId="77777777" w:rsidR="00AD4A06" w:rsidRDefault="00634CB6">
      <w:pPr>
        <w:pStyle w:val="SourceCode"/>
      </w:pPr>
      <w:r>
        <w:rPr>
          <w:rStyle w:val="NormalTok"/>
        </w:rPr>
        <w:t xml:space="preserve">theta_se </w:t>
      </w:r>
      <w:r>
        <w:rPr>
          <w:rStyle w:val="OtherTok"/>
        </w:rPr>
        <w:t>&lt;-</w:t>
      </w:r>
      <w:r>
        <w:rPr>
          <w:rStyle w:val="NormalTok"/>
        </w:rPr>
        <w:t xml:space="preserve"> </w:t>
      </w:r>
      <w:r>
        <w:rPr>
          <w:rStyle w:val="FunctionTok"/>
        </w:rPr>
        <w:t>fscores</w:t>
      </w:r>
      <w:r>
        <w:rPr>
          <w:rStyle w:val="NormalTok"/>
        </w:rPr>
        <w:t xml:space="preserve">(fit, </w:t>
      </w:r>
      <w:r>
        <w:rPr>
          <w:rStyle w:val="AttributeTok"/>
        </w:rPr>
        <w:t>full.scores.SE =</w:t>
      </w:r>
      <w:r>
        <w:rPr>
          <w:rStyle w:val="NormalTok"/>
        </w:rPr>
        <w:t xml:space="preserve"> </w:t>
      </w:r>
      <w:r>
        <w:rPr>
          <w:rStyle w:val="ConstantTok"/>
        </w:rPr>
        <w:t>TRUE</w:t>
      </w:r>
      <w:r>
        <w:rPr>
          <w:rStyle w:val="NormalTok"/>
        </w:rPr>
        <w:t xml:space="preserve">) </w:t>
      </w:r>
      <w:r>
        <w:rPr>
          <w:rStyle w:val="CommentTok"/>
        </w:rPr>
        <w:t># Extracting the estimated theta score of each participant.</w:t>
      </w:r>
      <w:r>
        <w:br/>
      </w:r>
      <w:r>
        <w:rPr>
          <w:rStyle w:val="FunctionTok"/>
        </w:rPr>
        <w:t>empirical_rxx</w:t>
      </w:r>
      <w:r>
        <w:rPr>
          <w:rStyle w:val="NormalTok"/>
        </w:rPr>
        <w:t xml:space="preserve">(theta_se) </w:t>
      </w:r>
      <w:r>
        <w:rPr>
          <w:rStyle w:val="CommentTok"/>
        </w:rPr>
        <w:t># Then use the estimated theta to calculate empirical reliability.</w:t>
      </w:r>
    </w:p>
    <w:p w14:paraId="0AA98DAB" w14:textId="77777777" w:rsidR="00AD4A06" w:rsidRDefault="00634CB6">
      <w:pPr>
        <w:pStyle w:val="FirstParagraph"/>
      </w:pPr>
      <w:r>
        <w:t xml:space="preserve">The </w:t>
      </w:r>
      <w:r>
        <w:rPr>
          <w:rStyle w:val="VerbatimChar"/>
        </w:rPr>
        <w:t>fscores()</w:t>
      </w:r>
      <w:r>
        <w:t xml:space="preserve"> function is used to compute the estimated </w:t>
      </w:r>
      <m:oMath>
        <m:r>
          <w:rPr>
            <w:rFonts w:ascii="Cambria Math" w:hAnsi="Cambria Math"/>
          </w:rPr>
          <m:t>θ</m:t>
        </m:r>
      </m:oMath>
      <w:r>
        <w:t xml:space="preserve"> value for each participant predicted by the </w:t>
      </w:r>
      <w:r>
        <w:rPr>
          <w:rStyle w:val="VerbatimChar"/>
        </w:rPr>
        <w:t>fit</w:t>
      </w:r>
      <w:r>
        <w:t xml:space="preserve"> model. The </w:t>
      </w:r>
      <w:r>
        <w:rPr>
          <w:rStyle w:val="VerbatimChar"/>
        </w:rPr>
        <w:t>full.scores.SE</w:t>
      </w:r>
      <w:r>
        <w:t xml:space="preserve"> is set to </w:t>
      </w:r>
      <w:r>
        <w:rPr>
          <w:rStyle w:val="VerbatimChar"/>
        </w:rPr>
        <w:t>TRUE</w:t>
      </w:r>
      <w:r>
        <w:t xml:space="preserve"> because the package uses the </w:t>
      </w:r>
      <m:oMath>
        <m:r>
          <w:rPr>
            <w:rFonts w:ascii="Cambria Math" w:hAnsi="Cambria Math"/>
          </w:rPr>
          <m:t>θ</m:t>
        </m:r>
      </m:oMath>
      <w:r>
        <w:t xml:space="preserve"> value and standard error of each participant (</w:t>
      </w:r>
      <w:r>
        <w:rPr>
          <w:i/>
          <w:iCs/>
        </w:rPr>
        <w:t>SE</w:t>
      </w:r>
      <m:oMath>
        <m:r>
          <w:rPr>
            <w:rFonts w:ascii="Cambria Math" w:hAnsi="Cambria Math"/>
          </w:rPr>
          <m:t>θ</m:t>
        </m:r>
      </m:oMath>
      <w:r>
        <w:t xml:space="preserve">) to compute the empirical reliability. We store the estimated </w:t>
      </w:r>
      <m:oMath>
        <m:r>
          <w:rPr>
            <w:rFonts w:ascii="Cambria Math" w:hAnsi="Cambria Math"/>
          </w:rPr>
          <m:t>θ</m:t>
        </m:r>
      </m:oMath>
      <w:r>
        <w:t xml:space="preserve"> and its </w:t>
      </w:r>
      <w:r>
        <w:rPr>
          <w:i/>
          <w:iCs/>
        </w:rPr>
        <w:t>SE</w:t>
      </w:r>
      <m:oMath>
        <m:r>
          <w:rPr>
            <w:rFonts w:ascii="Cambria Math" w:hAnsi="Cambria Math"/>
          </w:rPr>
          <m:t>θ</m:t>
        </m:r>
      </m:oMath>
      <w:r>
        <w:t xml:space="preserve"> in a new data frame, namely </w:t>
      </w:r>
      <w:r>
        <w:rPr>
          <w:rStyle w:val="VerbatimChar"/>
        </w:rPr>
        <w:t>theta_se</w:t>
      </w:r>
      <w:r>
        <w:t xml:space="preserve">, and then run </w:t>
      </w:r>
      <w:r>
        <w:rPr>
          <w:rStyle w:val="VerbatimChar"/>
        </w:rPr>
        <w:t>empirical_rxx()</w:t>
      </w:r>
      <w:r>
        <w:t xml:space="preserve"> function to calculate empirical reliability. The output of these codes is 0.953, which is very close to marginal reliability we estimated before.</w:t>
      </w:r>
    </w:p>
    <w:p w14:paraId="4AFE23A4" w14:textId="77777777" w:rsidR="00AD4A06" w:rsidRDefault="00634CB6">
      <w:pPr>
        <w:pStyle w:val="Heading1"/>
      </w:pPr>
      <w:bookmarkStart w:id="22" w:name="discussion"/>
      <w:bookmarkEnd w:id="6"/>
      <w:bookmarkEnd w:id="20"/>
      <w:r>
        <w:t>Discussion</w:t>
      </w:r>
    </w:p>
    <w:p w14:paraId="7E102D5D" w14:textId="2F02A80B" w:rsidR="00AD4A06" w:rsidRDefault="00634CB6">
      <w:pPr>
        <w:pStyle w:val="FirstParagraph"/>
      </w:pPr>
      <w:r>
        <w:t xml:space="preserve">Construct validation is an ongoing process (Messick, 1995), so reporting evidence of validity should always be an important part of the routine. In practice, however, researchers are less interested in examining the performance of the measures they use in their study, making it difficult to assess the credibility of their research findings (Flake et al., 2017; Hussey &amp; Hughes, 2020). In this tutorial, we demonstrate the applicability of GRM analysis as part of the IRT family to help applied psychology researchers assess their measurement quality. We provide a non-technical guide to implementing a GRM analysis through a simple 7-step process using a real, openly available dataset. To maximize the effectiveness of this tutorial, we show how to </w:t>
      </w:r>
      <w:r>
        <w:lastRenderedPageBreak/>
        <w:t xml:space="preserve">perform a GRM analysis using R, an </w:t>
      </w:r>
      <w:r w:rsidR="00922909">
        <w:t>open-source</w:t>
      </w:r>
      <w:r>
        <w:t xml:space="preserve"> statistical software, and make all materials publicly available.</w:t>
      </w:r>
    </w:p>
    <w:p w14:paraId="3654B420" w14:textId="77777777" w:rsidR="00AD4A06" w:rsidRDefault="00634CB6">
      <w:pPr>
        <w:pStyle w:val="BodyText"/>
      </w:pPr>
      <w:r>
        <w:t>We begin the tutorial with a theoretical overview of IRT, which underlies GRM, so that readers can relate the practical steps to the theory behind the analysis. Since IRT is less popular than CTT, we also briefly explain how IRT differs from CTT in its assumptions. However, we want to emphasize that our goal here is not to argue for the superiority of CTT over IRT, since the choice of analytic tool depends largely on the specific research question at hand. It is important to highlight that researchers should be aware of the merits and limitations of their chosen methods. Therefore, researchers should always justify why they choose a particular method over many available alternatives.</w:t>
      </w:r>
    </w:p>
    <w:p w14:paraId="7D867739" w14:textId="77777777" w:rsidR="00AD4A06" w:rsidRDefault="00634CB6">
      <w:pPr>
        <w:pStyle w:val="BodyText"/>
      </w:pPr>
      <w:r>
        <w:t xml:space="preserve">Note that the model we estimated has a poor fit, perhaps due to local dependency, as we showed in steps 4 and 5. In practice, we recommend addressing model fitting issues before interpreting measurement precision or drawing substantive conclusions based on these estimates. One solution is to rephrase or to combine the content of the problematic items that indicate local dependency. Alternatively, readers may need to reconsider the </w:t>
      </w:r>
      <m:oMath>
        <m:r>
          <w:rPr>
            <w:rFonts w:ascii="Cambria Math" w:hAnsi="Cambria Math"/>
          </w:rPr>
          <m:t>θ</m:t>
        </m:r>
      </m:oMath>
      <w:r>
        <w:t xml:space="preserve"> structure. If the data is unidimensional but some of the items are locally dependent, this may indicate the existence of multiple </w:t>
      </w:r>
      <m:oMath>
        <m:r>
          <w:rPr>
            <w:rFonts w:ascii="Cambria Math" w:hAnsi="Cambria Math"/>
          </w:rPr>
          <m:t>θ</m:t>
        </m:r>
      </m:oMath>
      <w:r>
        <w:t xml:space="preserve"> within the data structure. In this sense, modeling the test data as a correlated multidimensional model or a bifactor model (i.e., multidimensional models with a </w:t>
      </w:r>
      <w:r>
        <w:rPr>
          <w:i/>
          <w:iCs/>
        </w:rPr>
        <w:t>g</w:t>
      </w:r>
      <w:r>
        <w:t xml:space="preserve"> factor) may be a solution, given that a previous study shows that the RWA scale is multidimensional (Duckitt &amp; Bizumic, 2013). Removing locally dependent items should be a last resort, as it may improve model fit but may also compromise measurement precision.</w:t>
      </w:r>
    </w:p>
    <w:p w14:paraId="5D45DD30" w14:textId="77777777" w:rsidR="00AD4A06" w:rsidRDefault="00634CB6">
      <w:pPr>
        <w:pStyle w:val="BodyText"/>
      </w:pPr>
      <w:r>
        <w:t xml:space="preserve">Construct validation is a critical step in the iterative process of theorizing a psychological phenomenon (Grahek et al., 2021). Therefore, we encourage applied psychology researchers to </w:t>
      </w:r>
      <w:r>
        <w:lastRenderedPageBreak/>
        <w:t>report evidence of measurement quality to ensure the validity of their findings and contribute to cumulative psychological science. One way to do this is to conduct and report a GRM analysis of their measures. We hope that this tutorial can be seen as a small step towards the larger goal of building robust psychological science.</w:t>
      </w:r>
    </w:p>
    <w:p w14:paraId="3CF2D8B6" w14:textId="77777777" w:rsidR="00AD4A06" w:rsidRDefault="00634CB6">
      <w:r>
        <w:br w:type="page"/>
      </w:r>
    </w:p>
    <w:p w14:paraId="071E4E01" w14:textId="77777777" w:rsidR="00AD4A06" w:rsidRDefault="00634CB6">
      <w:pPr>
        <w:pStyle w:val="Heading1"/>
      </w:pPr>
      <w:bookmarkStart w:id="23" w:name="references"/>
      <w:bookmarkEnd w:id="22"/>
      <w:r>
        <w:lastRenderedPageBreak/>
        <w:t>References</w:t>
      </w:r>
    </w:p>
    <w:p w14:paraId="21723E0A" w14:textId="77777777" w:rsidR="00AD4A06" w:rsidRDefault="00634CB6">
      <w:pPr>
        <w:pStyle w:val="Bibliography"/>
      </w:pPr>
      <w:bookmarkStart w:id="24" w:name="ref-altemeyerAuthoritarians2006"/>
      <w:bookmarkStart w:id="25" w:name="refs"/>
      <w:r>
        <w:t xml:space="preserve">Altemeyer, B. (2006). </w:t>
      </w:r>
      <w:r>
        <w:rPr>
          <w:i/>
          <w:iCs/>
        </w:rPr>
        <w:t>The Authoritarians</w:t>
      </w:r>
      <w:r>
        <w:t>.</w:t>
      </w:r>
    </w:p>
    <w:p w14:paraId="42E7CBEE" w14:textId="77777777" w:rsidR="00AD4A06" w:rsidRDefault="00634CB6">
      <w:pPr>
        <w:pStyle w:val="Bibliography"/>
      </w:pPr>
      <w:bookmarkStart w:id="26" w:name="ref-bakerBasicsItemResponse2017"/>
      <w:bookmarkEnd w:id="24"/>
      <w:r>
        <w:t xml:space="preserve">Baker, F. B., &amp; Seock-Ho, K. (2017). </w:t>
      </w:r>
      <w:r>
        <w:rPr>
          <w:i/>
          <w:iCs/>
        </w:rPr>
        <w:t>The basics of item response theory using R</w:t>
      </w:r>
      <w:r>
        <w:t>. Springer Science+Business Media.</w:t>
      </w:r>
    </w:p>
    <w:p w14:paraId="53C2A3EE" w14:textId="77777777" w:rsidR="00AD4A06" w:rsidRDefault="00634CB6">
      <w:pPr>
        <w:pStyle w:val="Bibliography"/>
      </w:pPr>
      <w:bookmarkStart w:id="27" w:name="ref-chalmersMirtMultidimensionalItem2012"/>
      <w:bookmarkEnd w:id="26"/>
      <w:r>
        <w:t xml:space="preserve">Chalmers, R. P. (2012). Mirt: A Multidimensional Item Response Theory Package for the R Environment. </w:t>
      </w:r>
      <w:r>
        <w:rPr>
          <w:i/>
          <w:iCs/>
        </w:rPr>
        <w:t>Journal of Statistical Software</w:t>
      </w:r>
      <w:r>
        <w:t xml:space="preserve">, </w:t>
      </w:r>
      <w:r>
        <w:rPr>
          <w:i/>
          <w:iCs/>
        </w:rPr>
        <w:t>48</w:t>
      </w:r>
      <w:r>
        <w:t xml:space="preserve">, 1–29. </w:t>
      </w:r>
      <w:hyperlink r:id="rId15">
        <w:r>
          <w:rPr>
            <w:rStyle w:val="Hyperlink"/>
          </w:rPr>
          <w:t>https://doi.org/10.18637/jss.v048.i06</w:t>
        </w:r>
      </w:hyperlink>
    </w:p>
    <w:p w14:paraId="3290031C" w14:textId="77777777" w:rsidR="00AD4A06" w:rsidRDefault="00634CB6">
      <w:pPr>
        <w:pStyle w:val="Bibliography"/>
      </w:pPr>
      <w:bookmarkStart w:id="28" w:name="Xde55afc41efefb8779392ff558d3924958e596c"/>
      <w:bookmarkEnd w:id="27"/>
      <w:r>
        <w:t xml:space="preserve">Chalmers, R. P., Pritikin, J., Robitzsch, A., Zoltak, M., Kim, K., Falk, C. F., Meade, A., Schneider, L., King, D., Liu, C.-W., &amp; Oguzhan, O. (2023). </w:t>
      </w:r>
      <w:r>
        <w:rPr>
          <w:i/>
          <w:iCs/>
        </w:rPr>
        <w:t>Mirt: Multidimensional Item Response Theory</w:t>
      </w:r>
      <w:r>
        <w:t>.</w:t>
      </w:r>
    </w:p>
    <w:p w14:paraId="6571BD0F" w14:textId="77777777" w:rsidR="00AD4A06" w:rsidRDefault="00634CB6">
      <w:pPr>
        <w:pStyle w:val="Bibliography"/>
      </w:pPr>
      <w:bookmarkStart w:id="29" w:name="ref-chenLocalDependenceIndexes1997"/>
      <w:bookmarkEnd w:id="28"/>
      <w:r>
        <w:t xml:space="preserve">Chen, W.-H., &amp; Thissen, D. (1997). Local Dependence Indexes for Item Pairs Using Item Response Theory. </w:t>
      </w:r>
      <w:r>
        <w:rPr>
          <w:i/>
          <w:iCs/>
        </w:rPr>
        <w:t>Journal of Educational and Behavioral Statistics</w:t>
      </w:r>
      <w:r>
        <w:t xml:space="preserve">, </w:t>
      </w:r>
      <w:r>
        <w:rPr>
          <w:i/>
          <w:iCs/>
        </w:rPr>
        <w:t>22</w:t>
      </w:r>
      <w:r>
        <w:t xml:space="preserve">(3), 265–289. </w:t>
      </w:r>
      <w:hyperlink r:id="rId16">
        <w:r>
          <w:rPr>
            <w:rStyle w:val="Hyperlink"/>
          </w:rPr>
          <w:t>https://doi.org/10.3102/10769986022003265</w:t>
        </w:r>
      </w:hyperlink>
    </w:p>
    <w:p w14:paraId="253D7CAE" w14:textId="77777777" w:rsidR="00AD4A06" w:rsidRDefault="00634CB6">
      <w:pPr>
        <w:pStyle w:val="Bibliography"/>
      </w:pPr>
      <w:bookmarkStart w:id="30" w:name="ref-deayalaTheoryPracticeItem2022"/>
      <w:bookmarkEnd w:id="29"/>
      <w:r>
        <w:t xml:space="preserve">de Ayala, R. J. (2022). </w:t>
      </w:r>
      <w:r>
        <w:rPr>
          <w:i/>
          <w:iCs/>
        </w:rPr>
        <w:t>The Theory and Practice of Item Response Theory</w:t>
      </w:r>
      <w:r>
        <w:t>. The Guilford Press.</w:t>
      </w:r>
    </w:p>
    <w:p w14:paraId="64A36A11" w14:textId="77777777" w:rsidR="00AD4A06" w:rsidRDefault="00634CB6">
      <w:pPr>
        <w:pStyle w:val="Bibliography"/>
      </w:pPr>
      <w:bookmarkStart w:id="31" w:name="Xe7e7921bdf8fe3bceba0f362744b385b1b87c20"/>
      <w:bookmarkEnd w:id="30"/>
      <w:r>
        <w:t xml:space="preserve">Duckitt, J., &amp; Bizumic, B. (2013). Multidimensionality of Right-Wing Authoritarian Attitudes: Authoritarianism-Conservatism-Traditionalism: Authoritarianism-Conservatism-Traditionalism. </w:t>
      </w:r>
      <w:r>
        <w:rPr>
          <w:i/>
          <w:iCs/>
        </w:rPr>
        <w:t>Political Psychology</w:t>
      </w:r>
      <w:r>
        <w:t xml:space="preserve">, </w:t>
      </w:r>
      <w:r>
        <w:rPr>
          <w:i/>
          <w:iCs/>
        </w:rPr>
        <w:t>34</w:t>
      </w:r>
      <w:r>
        <w:t xml:space="preserve">(6), 841–862. </w:t>
      </w:r>
      <w:hyperlink r:id="rId17">
        <w:r>
          <w:rPr>
            <w:rStyle w:val="Hyperlink"/>
          </w:rPr>
          <w:t>https://doi.org/10.1111/pops.12022</w:t>
        </w:r>
      </w:hyperlink>
    </w:p>
    <w:p w14:paraId="4D638D95" w14:textId="77777777" w:rsidR="00AD4A06" w:rsidRDefault="00634CB6">
      <w:pPr>
        <w:pStyle w:val="Bibliography"/>
      </w:pPr>
      <w:bookmarkStart w:id="32" w:name="ref-duckittDualProcessMotivational2017"/>
      <w:bookmarkEnd w:id="31"/>
      <w:r>
        <w:t xml:space="preserve">Duckitt, J., &amp; Sibley, C. G. (2017). The dual process motivational model of ideology and prejudice. In </w:t>
      </w:r>
      <w:r>
        <w:rPr>
          <w:i/>
          <w:iCs/>
        </w:rPr>
        <w:t>The Cambridge handbook of the psychology of prejudice</w:t>
      </w:r>
      <w:r>
        <w:t xml:space="preserve"> (pp. 188–221). Cambridge University Press. </w:t>
      </w:r>
      <w:hyperlink r:id="rId18">
        <w:r>
          <w:rPr>
            <w:rStyle w:val="Hyperlink"/>
          </w:rPr>
          <w:t>https://doi.org/10.1017/9781316161579.009</w:t>
        </w:r>
      </w:hyperlink>
    </w:p>
    <w:p w14:paraId="17E58FDA" w14:textId="77777777" w:rsidR="00AD4A06" w:rsidRPr="00634CB6" w:rsidRDefault="00634CB6">
      <w:pPr>
        <w:pStyle w:val="Bibliography"/>
        <w:rPr>
          <w:lang w:val="de-DE"/>
        </w:rPr>
      </w:pPr>
      <w:bookmarkStart w:id="33" w:name="ref-elsonPsychologicalMeasuresAren2023"/>
      <w:bookmarkEnd w:id="32"/>
      <w:r>
        <w:t xml:space="preserve">Elson, M., Hussey, I., Alsalti, T., &amp; Arslan, R. C. (2023). Psychological measures aren’t toothbrushes. </w:t>
      </w:r>
      <w:r>
        <w:rPr>
          <w:i/>
          <w:iCs/>
        </w:rPr>
        <w:t>Commun Psychol</w:t>
      </w:r>
      <w:r>
        <w:t xml:space="preserve">, </w:t>
      </w:r>
      <w:r>
        <w:rPr>
          <w:i/>
          <w:iCs/>
        </w:rPr>
        <w:t>1</w:t>
      </w:r>
      <w:r>
        <w:t xml:space="preserve">(1), 1–4. </w:t>
      </w:r>
      <w:hyperlink r:id="rId19">
        <w:r w:rsidRPr="00634CB6">
          <w:rPr>
            <w:rStyle w:val="Hyperlink"/>
            <w:lang w:val="de-DE"/>
          </w:rPr>
          <w:t>https://doi.org/10.1038/s44271-023-00026-9</w:t>
        </w:r>
      </w:hyperlink>
    </w:p>
    <w:p w14:paraId="499DC5E6" w14:textId="77777777" w:rsidR="00AD4A06" w:rsidRDefault="00634CB6">
      <w:pPr>
        <w:pStyle w:val="Bibliography"/>
      </w:pPr>
      <w:bookmarkStart w:id="34" w:name="ref-embretsonItemResponseTheory2000"/>
      <w:bookmarkEnd w:id="33"/>
      <w:r w:rsidRPr="00634CB6">
        <w:rPr>
          <w:lang w:val="de-DE"/>
        </w:rPr>
        <w:lastRenderedPageBreak/>
        <w:t xml:space="preserve">Embretson, S. E., &amp; Reise, S. P. (2000). </w:t>
      </w:r>
      <w:r>
        <w:rPr>
          <w:i/>
          <w:iCs/>
        </w:rPr>
        <w:t>Item response theory for psychologists</w:t>
      </w:r>
      <w:r>
        <w:t>. L. Erlbaum Associates.</w:t>
      </w:r>
    </w:p>
    <w:p w14:paraId="17C36152" w14:textId="77777777" w:rsidR="00AD4A06" w:rsidRDefault="00634CB6">
      <w:pPr>
        <w:pStyle w:val="Bibliography"/>
      </w:pPr>
      <w:bookmarkStart w:id="35" w:name="X6e1b0c4d53940a9b1cfb16850b9474671193656"/>
      <w:bookmarkEnd w:id="34"/>
      <w:r>
        <w:t xml:space="preserve">Flake, J. K., &amp; Fried, E. I. (2020). Measurement Schmeasurement: Questionable Measurement Practices and How to Avoid Them. </w:t>
      </w:r>
      <w:r>
        <w:rPr>
          <w:i/>
          <w:iCs/>
        </w:rPr>
        <w:t>Advances in Methods and Practices in Psychological Science</w:t>
      </w:r>
      <w:r>
        <w:t xml:space="preserve">, </w:t>
      </w:r>
      <w:r>
        <w:rPr>
          <w:i/>
          <w:iCs/>
        </w:rPr>
        <w:t>3</w:t>
      </w:r>
      <w:r>
        <w:t xml:space="preserve">(4), 456–465. </w:t>
      </w:r>
      <w:hyperlink r:id="rId20">
        <w:r>
          <w:rPr>
            <w:rStyle w:val="Hyperlink"/>
          </w:rPr>
          <w:t>https://doi.org/10.1177/2515245920952393</w:t>
        </w:r>
      </w:hyperlink>
    </w:p>
    <w:p w14:paraId="7D5086DC" w14:textId="77777777" w:rsidR="00AD4A06" w:rsidRDefault="00634CB6">
      <w:pPr>
        <w:pStyle w:val="Bibliography"/>
      </w:pPr>
      <w:bookmarkStart w:id="36" w:name="ref-flakeConstructValidationSocial2017"/>
      <w:bookmarkEnd w:id="35"/>
      <w:r>
        <w:t xml:space="preserve">Flake, J. K., Pek, J., &amp; Hehman, E. (2017). Construct Validation in Social and Personality Research: Current Practice and Recommendations. </w:t>
      </w:r>
      <w:r>
        <w:rPr>
          <w:i/>
          <w:iCs/>
        </w:rPr>
        <w:t>Social Psychological and Personality Science</w:t>
      </w:r>
      <w:r>
        <w:t xml:space="preserve">. </w:t>
      </w:r>
      <w:hyperlink r:id="rId21">
        <w:r>
          <w:rPr>
            <w:rStyle w:val="Hyperlink"/>
          </w:rPr>
          <w:t>https://doi.org/10.1177/1948550617693063</w:t>
        </w:r>
      </w:hyperlink>
    </w:p>
    <w:p w14:paraId="2A822E4C" w14:textId="77777777" w:rsidR="00AD4A06" w:rsidRPr="00634CB6" w:rsidRDefault="00634CB6">
      <w:pPr>
        <w:pStyle w:val="Bibliography"/>
        <w:rPr>
          <w:lang w:val="de-DE"/>
        </w:rPr>
      </w:pPr>
      <w:bookmarkStart w:id="37" w:name="ref-grahekAnatomyPsychologicalTheory2021"/>
      <w:bookmarkEnd w:id="36"/>
      <w:r>
        <w:t xml:space="preserve">Grahek, I., Schaller, M., &amp; Tackett, J. L. (2021). Anatomy of a Psychological Theory: Integrating Construct-Validation and Computational-Modeling Methods to Advance Theorizing. </w:t>
      </w:r>
      <w:r w:rsidRPr="00634CB6">
        <w:rPr>
          <w:i/>
          <w:iCs/>
          <w:lang w:val="de-DE"/>
        </w:rPr>
        <w:t>Perspect Psychol Sci</w:t>
      </w:r>
      <w:r w:rsidRPr="00634CB6">
        <w:rPr>
          <w:lang w:val="de-DE"/>
        </w:rPr>
        <w:t xml:space="preserve">, 1745691620966794. </w:t>
      </w:r>
      <w:hyperlink r:id="rId22">
        <w:r w:rsidRPr="00634CB6">
          <w:rPr>
            <w:rStyle w:val="Hyperlink"/>
            <w:lang w:val="de-DE"/>
          </w:rPr>
          <w:t>https://doi.org/ghtczb</w:t>
        </w:r>
      </w:hyperlink>
    </w:p>
    <w:p w14:paraId="4D91F90F" w14:textId="77777777" w:rsidR="00AD4A06" w:rsidRDefault="00634CB6">
      <w:pPr>
        <w:pStyle w:val="Bibliography"/>
      </w:pPr>
      <w:bookmarkStart w:id="38" w:name="ref-hambletonIRTModelsAnalysis2010"/>
      <w:bookmarkEnd w:id="37"/>
      <w:r w:rsidRPr="00634CB6">
        <w:rPr>
          <w:lang w:val="de-DE"/>
        </w:rPr>
        <w:t xml:space="preserve">Hambleton, R. K., Van Der Linden, W. J., &amp; Wells, C. S. (2010). </w:t>
      </w:r>
      <w:r>
        <w:t xml:space="preserve">IRT models for the Analysis of Polytomously Scored Data: Brief and Selected History of Model Building Advances. In M. L. Nering &amp; R. Ostini (Eds.), </w:t>
      </w:r>
      <w:r>
        <w:rPr>
          <w:i/>
          <w:iCs/>
        </w:rPr>
        <w:t>Handbook of polytomous item response theory models</w:t>
      </w:r>
      <w:r>
        <w:t xml:space="preserve"> (pp. 21–42). Routledge.</w:t>
      </w:r>
    </w:p>
    <w:p w14:paraId="3DDC3EE9" w14:textId="77777777" w:rsidR="00AD4A06" w:rsidRDefault="00634CB6">
      <w:pPr>
        <w:pStyle w:val="Bibliography"/>
      </w:pPr>
      <w:bookmarkStart w:id="39" w:name="ref-husseyHiddenInvalidity152020"/>
      <w:bookmarkEnd w:id="38"/>
      <w:r>
        <w:t xml:space="preserve">Hussey, I., &amp; Hughes, S. (2020). Hidden Invalidity Among 15 Commonly Used Measures in Social and Personality Psychology. </w:t>
      </w:r>
      <w:r>
        <w:rPr>
          <w:i/>
          <w:iCs/>
        </w:rPr>
        <w:t>Advances in Methods and Practices in Psychological Science</w:t>
      </w:r>
      <w:r>
        <w:t xml:space="preserve">, </w:t>
      </w:r>
      <w:r>
        <w:rPr>
          <w:i/>
          <w:iCs/>
        </w:rPr>
        <w:t>3</w:t>
      </w:r>
      <w:r>
        <w:t xml:space="preserve">(2), 166–184. </w:t>
      </w:r>
      <w:hyperlink r:id="rId23">
        <w:r>
          <w:rPr>
            <w:rStyle w:val="Hyperlink"/>
          </w:rPr>
          <w:t>https://doi.org/10.1177/2515245919882903</w:t>
        </w:r>
      </w:hyperlink>
    </w:p>
    <w:p w14:paraId="0BBC9674" w14:textId="77777777" w:rsidR="00AD4A06" w:rsidRDefault="00634CB6">
      <w:pPr>
        <w:pStyle w:val="Bibliography"/>
      </w:pPr>
      <w:bookmarkStart w:id="40" w:name="X43830a7d32074f3481be13b1a7e307f0fdfc671"/>
      <w:bookmarkEnd w:id="39"/>
      <w:r>
        <w:t xml:space="preserve">Kuhn, M. (2024). </w:t>
      </w:r>
      <w:r>
        <w:rPr>
          <w:i/>
          <w:iCs/>
        </w:rPr>
        <w:t>Caret: Classification and Regression Training</w:t>
      </w:r>
      <w:r>
        <w:t>.</w:t>
      </w:r>
    </w:p>
    <w:p w14:paraId="222292E0" w14:textId="77777777" w:rsidR="00AD4A06" w:rsidRDefault="00634CB6">
      <w:pPr>
        <w:pStyle w:val="Bibliography"/>
      </w:pPr>
      <w:bookmarkStart w:id="41" w:name="ref-masurGgmirt2023"/>
      <w:bookmarkEnd w:id="40"/>
      <w:r>
        <w:t xml:space="preserve">Masur, P. K. (2023). </w:t>
      </w:r>
      <w:r>
        <w:rPr>
          <w:i/>
          <w:iCs/>
        </w:rPr>
        <w:t>Ggmirt</w:t>
      </w:r>
      <w:r>
        <w:t>.</w:t>
      </w:r>
    </w:p>
    <w:p w14:paraId="3888AD9E" w14:textId="77777777" w:rsidR="00AD4A06" w:rsidRDefault="00634CB6">
      <w:pPr>
        <w:pStyle w:val="Bibliography"/>
      </w:pPr>
      <w:bookmarkStart w:id="42" w:name="X8a0ee77163ceb391bc971ded1391b8c7e388d5c"/>
      <w:bookmarkEnd w:id="41"/>
      <w:r>
        <w:t xml:space="preserve">Maydeu-Olivares, A., &amp; Joe, H. (2006). Limited Information Goodness-of-fit Testing in Multidimensional Contingency Tables. </w:t>
      </w:r>
      <w:r>
        <w:rPr>
          <w:i/>
          <w:iCs/>
        </w:rPr>
        <w:t>Psychometrika</w:t>
      </w:r>
      <w:r>
        <w:t xml:space="preserve">, </w:t>
      </w:r>
      <w:r>
        <w:rPr>
          <w:i/>
          <w:iCs/>
        </w:rPr>
        <w:t>71</w:t>
      </w:r>
      <w:r>
        <w:t xml:space="preserve">(4), 713–732. </w:t>
      </w:r>
      <w:hyperlink r:id="rId24">
        <w:r>
          <w:rPr>
            <w:rStyle w:val="Hyperlink"/>
          </w:rPr>
          <w:t>https://doi.org/10.1007/s11336-005-1295-9</w:t>
        </w:r>
      </w:hyperlink>
    </w:p>
    <w:p w14:paraId="0766C738" w14:textId="77777777" w:rsidR="00AD4A06" w:rsidRDefault="00634CB6">
      <w:pPr>
        <w:pStyle w:val="Bibliography"/>
      </w:pPr>
      <w:bookmarkStart w:id="43" w:name="Xa0abacaf67255454be2e68d36647e5e6a4435c7"/>
      <w:bookmarkEnd w:id="42"/>
      <w:r>
        <w:lastRenderedPageBreak/>
        <w:t xml:space="preserve">Messick, S. (1995). Validity of Psychological Assessment. </w:t>
      </w:r>
      <w:r>
        <w:rPr>
          <w:i/>
          <w:iCs/>
        </w:rPr>
        <w:t>American Psychologist</w:t>
      </w:r>
      <w:r>
        <w:t>, 9.</w:t>
      </w:r>
    </w:p>
    <w:p w14:paraId="680D52F4" w14:textId="77777777" w:rsidR="00AD4A06" w:rsidRDefault="00634CB6">
      <w:pPr>
        <w:pStyle w:val="Bibliography"/>
      </w:pPr>
      <w:bookmarkStart w:id="44" w:name="ref-navarroPsychologicalScience2018"/>
      <w:bookmarkEnd w:id="43"/>
      <w:r>
        <w:t xml:space="preserve">Navarro, D. J. (2018). R for Psychological Science. In </w:t>
      </w:r>
      <w:r>
        <w:rPr>
          <w:i/>
          <w:iCs/>
        </w:rPr>
        <w:t>UNSW Computational Cognitive Science</w:t>
      </w:r>
      <w:r>
        <w:t>. https://psyr.djnavarro.net/.</w:t>
      </w:r>
    </w:p>
    <w:p w14:paraId="4573B5CC" w14:textId="77777777" w:rsidR="00AD4A06" w:rsidRDefault="00634CB6">
      <w:pPr>
        <w:pStyle w:val="Bibliography"/>
      </w:pPr>
      <w:bookmarkStart w:id="45" w:name="X648e7b543ec866ed200ce7e7eaf7debdf2765c6"/>
      <w:bookmarkEnd w:id="44"/>
      <w:r>
        <w:t xml:space="preserve">Osborne, D., Costello, T. H., Duckitt, J., &amp; Sibley, C. G. (2023). The psychological causes and societal consequences of authoritarianism. </w:t>
      </w:r>
      <w:r>
        <w:rPr>
          <w:i/>
          <w:iCs/>
        </w:rPr>
        <w:t>Nat Rev Psychol</w:t>
      </w:r>
      <w:r>
        <w:t xml:space="preserve">, </w:t>
      </w:r>
      <w:r>
        <w:rPr>
          <w:i/>
          <w:iCs/>
        </w:rPr>
        <w:t>2</w:t>
      </w:r>
      <w:r>
        <w:t xml:space="preserve">(4), 220–232. </w:t>
      </w:r>
      <w:hyperlink r:id="rId25">
        <w:r>
          <w:rPr>
            <w:rStyle w:val="Hyperlink"/>
          </w:rPr>
          <w:t>https://doi.org/10.1038/s44159-023-00161-4</w:t>
        </w:r>
      </w:hyperlink>
    </w:p>
    <w:p w14:paraId="4B01DC48" w14:textId="77777777" w:rsidR="00AD4A06" w:rsidRDefault="00634CB6">
      <w:pPr>
        <w:pStyle w:val="Bibliography"/>
      </w:pPr>
      <w:bookmarkStart w:id="46" w:name="X9908c3c11d2ce7c45992bd046a78b3587daa4e5"/>
      <w:bookmarkEnd w:id="45"/>
      <w:r>
        <w:t xml:space="preserve">R Core Team. (2023). </w:t>
      </w:r>
      <w:r>
        <w:rPr>
          <w:i/>
          <w:iCs/>
        </w:rPr>
        <w:t>R: A language and environment for statistical computing</w:t>
      </w:r>
      <w:r>
        <w:t>. R Foundation for Statistical Computing.</w:t>
      </w:r>
    </w:p>
    <w:p w14:paraId="64FF60E8" w14:textId="77777777" w:rsidR="00AD4A06" w:rsidRDefault="00634CB6">
      <w:pPr>
        <w:pStyle w:val="Bibliography"/>
      </w:pPr>
      <w:bookmarkStart w:id="47" w:name="X6063c9832c002f4cec709041b07655ee901e5b2"/>
      <w:bookmarkEnd w:id="46"/>
      <w:r>
        <w:t xml:space="preserve">Reise, S. P., Cook, K. F., &amp; Moore, T. M. (2015). Evaluating the Impact of Multidimensionality on Unidimensional Item Response Theory Model Parameters. In S. P. Reise &amp; D. A. Revicki (Eds.), </w:t>
      </w:r>
      <w:r>
        <w:rPr>
          <w:i/>
          <w:iCs/>
        </w:rPr>
        <w:t>Handbook of Item Response Theory Modeling: Applications to Typical Performance Assessment</w:t>
      </w:r>
      <w:r>
        <w:t xml:space="preserve"> (pp. 13–40). Routledge.</w:t>
      </w:r>
    </w:p>
    <w:p w14:paraId="2DF0269C" w14:textId="77777777" w:rsidR="00AD4A06" w:rsidRDefault="00634CB6">
      <w:pPr>
        <w:pStyle w:val="Bibliography"/>
      </w:pPr>
      <w:bookmarkStart w:id="48" w:name="X3df0b348f80d9bf4e12f708b20f66c81afe6902"/>
      <w:bookmarkEnd w:id="47"/>
      <w:r>
        <w:t xml:space="preserve">Revelle, W. (2023). </w:t>
      </w:r>
      <w:r>
        <w:rPr>
          <w:i/>
          <w:iCs/>
        </w:rPr>
        <w:t>Psych: Procedures for Psychological, Psychometric, and Personality Research</w:t>
      </w:r>
      <w:r>
        <w:t>.</w:t>
      </w:r>
    </w:p>
    <w:p w14:paraId="26D75253" w14:textId="77777777" w:rsidR="00AD4A06" w:rsidRDefault="00634CB6">
      <w:pPr>
        <w:pStyle w:val="Bibliography"/>
      </w:pPr>
      <w:bookmarkStart w:id="49" w:name="ref-samejimaGradedResponseModel1997"/>
      <w:bookmarkEnd w:id="48"/>
      <w:r>
        <w:t xml:space="preserve">Samejima, F. (1997). Graded Response Model. In W. J. van der Linden &amp; R. K. Hambleton (Eds.), </w:t>
      </w:r>
      <w:r>
        <w:rPr>
          <w:i/>
          <w:iCs/>
        </w:rPr>
        <w:t>Handbook of Modern Item Response Theory</w:t>
      </w:r>
      <w:r>
        <w:t xml:space="preserve"> (pp. 85–100). Springer. </w:t>
      </w:r>
      <w:hyperlink r:id="rId26">
        <w:r>
          <w:rPr>
            <w:rStyle w:val="Hyperlink"/>
          </w:rPr>
          <w:t>https://doi.org/10.1007/978-1-4757-2691-6_5</w:t>
        </w:r>
      </w:hyperlink>
    </w:p>
    <w:p w14:paraId="13D108E5" w14:textId="77777777" w:rsidR="00AD4A06" w:rsidRDefault="00634CB6">
      <w:pPr>
        <w:pStyle w:val="Bibliography"/>
      </w:pPr>
      <w:bookmarkStart w:id="50" w:name="ref-samejimaGeneralGradedResponse2010"/>
      <w:bookmarkEnd w:id="49"/>
      <w:r>
        <w:t xml:space="preserve">Samejima, F. (2010). The General Graded Response Model. In </w:t>
      </w:r>
      <w:r>
        <w:rPr>
          <w:i/>
          <w:iCs/>
        </w:rPr>
        <w:t>Handbook of Polytomous Item Response Theory Models</w:t>
      </w:r>
      <w:r>
        <w:t>. Routledge.</w:t>
      </w:r>
    </w:p>
    <w:p w14:paraId="3E7855AE" w14:textId="77777777" w:rsidR="00AD4A06" w:rsidRDefault="00634CB6">
      <w:pPr>
        <w:pStyle w:val="Bibliography"/>
      </w:pPr>
      <w:bookmarkStart w:id="51" w:name="ref-samejimaGradedResponseModels2016"/>
      <w:bookmarkEnd w:id="50"/>
      <w:r>
        <w:t xml:space="preserve">Samejima, F. (2016). Graded Response Models. In </w:t>
      </w:r>
      <w:r>
        <w:rPr>
          <w:i/>
          <w:iCs/>
        </w:rPr>
        <w:t>Handbook of Item Response Theory</w:t>
      </w:r>
      <w:r>
        <w:t>. Chapman and Hall/CRC.</w:t>
      </w:r>
    </w:p>
    <w:p w14:paraId="7CF89D4B" w14:textId="77777777" w:rsidR="00AD4A06" w:rsidRDefault="00634CB6">
      <w:pPr>
        <w:pStyle w:val="Bibliography"/>
      </w:pPr>
      <w:bookmarkStart w:id="52" w:name="X2ea6ac663606e999b517edf86575b3156e3350a"/>
      <w:bookmarkEnd w:id="51"/>
      <w:r>
        <w:lastRenderedPageBreak/>
        <w:t xml:space="preserve">Saunders, B. A., &amp; Ngo, J. (2017). The Right-Wing Authoritarianism Scale. In V. Zeigler-Hill &amp; T. K. Shackelford (Eds.), </w:t>
      </w:r>
      <w:r>
        <w:rPr>
          <w:i/>
          <w:iCs/>
        </w:rPr>
        <w:t>Encyclopedia of Personality and Individual Differences</w:t>
      </w:r>
      <w:r>
        <w:t xml:space="preserve"> (pp. 1–4). Springer International Publishing. </w:t>
      </w:r>
      <w:hyperlink r:id="rId27">
        <w:r>
          <w:rPr>
            <w:rStyle w:val="Hyperlink"/>
          </w:rPr>
          <w:t>https://doi.org/10.1007/978-3-319-28099-8_1262-1</w:t>
        </w:r>
      </w:hyperlink>
    </w:p>
    <w:p w14:paraId="26838598" w14:textId="77777777" w:rsidR="00AD4A06" w:rsidRDefault="00634CB6">
      <w:pPr>
        <w:pStyle w:val="Bibliography"/>
      </w:pPr>
      <w:bookmarkStart w:id="53" w:name="X4f674a50e25708f779b591c14889b7d36290a85"/>
      <w:bookmarkEnd w:id="52"/>
      <w:r>
        <w:t xml:space="preserve">Schermelleh-Engel, K., Moosbrugger, H., &amp; Müller, H. (2003). Evaluating the Fit of Structural Equation Models: Tests of Significance and Descriptive Goodness-of-Fit Measures. </w:t>
      </w:r>
      <w:r>
        <w:rPr>
          <w:i/>
          <w:iCs/>
        </w:rPr>
        <w:t>Methods of Psychological Research Online</w:t>
      </w:r>
      <w:r>
        <w:t xml:space="preserve">, </w:t>
      </w:r>
      <w:r>
        <w:rPr>
          <w:i/>
          <w:iCs/>
        </w:rPr>
        <w:t>8</w:t>
      </w:r>
      <w:r>
        <w:t>(2), 23–74.</w:t>
      </w:r>
    </w:p>
    <w:p w14:paraId="6930AA40" w14:textId="77777777" w:rsidR="00AD4A06" w:rsidRDefault="00634CB6">
      <w:pPr>
        <w:pStyle w:val="Bibliography"/>
      </w:pPr>
      <w:bookmarkStart w:id="54" w:name="ref-yenEffectsLocalItem1984"/>
      <w:bookmarkEnd w:id="53"/>
      <w:r>
        <w:t xml:space="preserve">Yen, W. M. (1984). Effects of Local Item Dependence on the Fit and Equating Performance of the Three-Parameter Logistic Model. </w:t>
      </w:r>
      <w:r>
        <w:rPr>
          <w:i/>
          <w:iCs/>
        </w:rPr>
        <w:t>Applied Psychological Measurement</w:t>
      </w:r>
      <w:r>
        <w:t xml:space="preserve">, </w:t>
      </w:r>
      <w:r>
        <w:rPr>
          <w:i/>
          <w:iCs/>
        </w:rPr>
        <w:t>8</w:t>
      </w:r>
      <w:r>
        <w:t xml:space="preserve">(2), 125–145. </w:t>
      </w:r>
      <w:hyperlink r:id="rId28">
        <w:r>
          <w:rPr>
            <w:rStyle w:val="Hyperlink"/>
          </w:rPr>
          <w:t>https://doi.org/10.1177/014662168400800201</w:t>
        </w:r>
      </w:hyperlink>
      <w:bookmarkEnd w:id="23"/>
      <w:bookmarkEnd w:id="25"/>
      <w:bookmarkEnd w:id="54"/>
    </w:p>
    <w:sectPr w:rsidR="00AD4A06" w:rsidSect="00C8594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F861D99" w14:textId="77777777" w:rsidR="00AD19B1" w:rsidRDefault="00AD19B1">
      <w:pPr>
        <w:spacing w:line="240" w:lineRule="auto"/>
      </w:pPr>
      <w:r>
        <w:separator/>
      </w:r>
    </w:p>
  </w:endnote>
  <w:endnote w:type="continuationSeparator" w:id="0">
    <w:p w14:paraId="28098E35" w14:textId="77777777" w:rsidR="00AD19B1" w:rsidRDefault="00AD19B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83B733B" w14:textId="77777777" w:rsidR="00AD19B1" w:rsidRDefault="00AD19B1">
      <w:r>
        <w:separator/>
      </w:r>
    </w:p>
  </w:footnote>
  <w:footnote w:type="continuationSeparator" w:id="0">
    <w:p w14:paraId="2414AD1C" w14:textId="77777777" w:rsidR="00AD19B1" w:rsidRDefault="00AD19B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F8C973" w14:textId="77777777" w:rsidR="00CD3132" w:rsidRPr="000D23CF" w:rsidRDefault="00634CB6" w:rsidP="000D23CF">
    <w:pPr>
      <w:tabs>
        <w:tab w:val="right" w:pos="9360"/>
      </w:tabs>
    </w:pPr>
    <w:r>
      <w:t>THE GRADED RESPONSE MODEL TUTORIAL</w:t>
    </w:r>
    <w:r>
      <w:tab/>
    </w:r>
    <w:r>
      <w:fldChar w:fldCharType="begin"/>
    </w:r>
    <w:r>
      <w:instrText xml:space="preserve"> PAGE   \* MERGEFORMAT </w:instrText>
    </w:r>
    <w:r>
      <w:fldChar w:fldCharType="separate"/>
    </w:r>
    <w:r>
      <w:rPr>
        <w:noProof/>
      </w:rPr>
      <w:t>1</w:t>
    </w:r>
    <w:r>
      <w:rPr>
        <w:noProof/>
      </w:rPr>
      <w:fldChar w:fldCharType="end"/>
    </w:r>
  </w:p>
  <w:p w14:paraId="62EBF3C5" w14:textId="77777777" w:rsidR="00CD3132" w:rsidRDefault="00CD313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631A5F2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8AA8C72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0A3E2FD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C147E6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839682B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2128A1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18C86D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65E97E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3550972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8C8C9D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A990"/>
    <w:multiLevelType w:val="multilevel"/>
    <w:tmpl w:val="84FC212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1" w15:restartNumberingAfterBreak="0">
    <w:nsid w:val="5D1079BE"/>
    <w:multiLevelType w:val="hybridMultilevel"/>
    <w:tmpl w:val="589A61B8"/>
    <w:lvl w:ilvl="0" w:tplc="2A80B848">
      <w:start w:val="1"/>
      <w:numFmt w:val="decimal"/>
      <w:pStyle w:val="APAEnumerated"/>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691734447">
    <w:abstractNumId w:val="11"/>
  </w:num>
  <w:num w:numId="2" w16cid:durableId="1411000405">
    <w:abstractNumId w:val="9"/>
  </w:num>
  <w:num w:numId="3" w16cid:durableId="1628198181">
    <w:abstractNumId w:val="7"/>
  </w:num>
  <w:num w:numId="4" w16cid:durableId="1112822736">
    <w:abstractNumId w:val="6"/>
  </w:num>
  <w:num w:numId="5" w16cid:durableId="295913508">
    <w:abstractNumId w:val="5"/>
  </w:num>
  <w:num w:numId="6" w16cid:durableId="79758388">
    <w:abstractNumId w:val="4"/>
  </w:num>
  <w:num w:numId="7" w16cid:durableId="4673388">
    <w:abstractNumId w:val="8"/>
  </w:num>
  <w:num w:numId="8" w16cid:durableId="475728864">
    <w:abstractNumId w:val="3"/>
  </w:num>
  <w:num w:numId="9" w16cid:durableId="1693722515">
    <w:abstractNumId w:val="2"/>
  </w:num>
  <w:num w:numId="10" w16cid:durableId="787433502">
    <w:abstractNumId w:val="1"/>
  </w:num>
  <w:num w:numId="11" w16cid:durableId="606304475">
    <w:abstractNumId w:val="0"/>
  </w:num>
  <w:num w:numId="12" w16cid:durableId="609121917">
    <w:abstractNumId w:val="9"/>
  </w:num>
  <w:num w:numId="13" w16cid:durableId="1388799917">
    <w:abstractNumId w:val="7"/>
  </w:num>
  <w:num w:numId="14" w16cid:durableId="1588418145">
    <w:abstractNumId w:val="6"/>
  </w:num>
  <w:num w:numId="15" w16cid:durableId="1338116888">
    <w:abstractNumId w:val="5"/>
  </w:num>
  <w:num w:numId="16" w16cid:durableId="1863282915">
    <w:abstractNumId w:val="4"/>
  </w:num>
  <w:num w:numId="17" w16cid:durableId="1298296077">
    <w:abstractNumId w:val="8"/>
  </w:num>
  <w:num w:numId="18" w16cid:durableId="1784953728">
    <w:abstractNumId w:val="3"/>
  </w:num>
  <w:num w:numId="19" w16cid:durableId="2107069954">
    <w:abstractNumId w:val="2"/>
  </w:num>
  <w:num w:numId="20" w16cid:durableId="1250963858">
    <w:abstractNumId w:val="1"/>
  </w:num>
  <w:num w:numId="21" w16cid:durableId="200634125">
    <w:abstractNumId w:val="0"/>
  </w:num>
  <w:num w:numId="22" w16cid:durableId="195790190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9"/>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TAzM7QwNzU0sDAwMjJS0lEKTi0uzszPAykwqgUAb9UatiwAAAA="/>
  </w:docVars>
  <w:rsids>
    <w:rsidRoot w:val="00AD4A06"/>
    <w:rsid w:val="00184C80"/>
    <w:rsid w:val="00242785"/>
    <w:rsid w:val="002F1658"/>
    <w:rsid w:val="00634CB6"/>
    <w:rsid w:val="00922909"/>
    <w:rsid w:val="00AD19B1"/>
    <w:rsid w:val="00AD4A06"/>
    <w:rsid w:val="00C85942"/>
    <w:rsid w:val="00CD3132"/>
    <w:rsid w:val="00E34D19"/>
    <w:rsid w:val="00F822A6"/>
    <w:rsid w:val="3750FE94"/>
    <w:rsid w:val="499A05B6"/>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E0628A"/>
  <w15:docId w15:val="{6887502C-4D7E-4F82-9D93-53057995F3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87689"/>
    <w:pPr>
      <w:spacing w:after="0" w:line="480" w:lineRule="auto"/>
    </w:pPr>
  </w:style>
  <w:style w:type="paragraph" w:styleId="Heading1">
    <w:name w:val="heading 1"/>
    <w:basedOn w:val="Normal"/>
    <w:next w:val="BodyText"/>
    <w:uiPriority w:val="9"/>
    <w:qFormat/>
    <w:rsid w:val="00901FB7"/>
    <w:pPr>
      <w:keepNext/>
      <w:keepLines/>
      <w:jc w:val="center"/>
      <w:outlineLvl w:val="0"/>
    </w:pPr>
    <w:rPr>
      <w:rFonts w:asciiTheme="majorHAnsi" w:eastAsiaTheme="majorEastAsia" w:hAnsiTheme="majorHAnsi" w:cstheme="majorBidi"/>
      <w:b/>
      <w:bCs/>
      <w:szCs w:val="32"/>
    </w:rPr>
  </w:style>
  <w:style w:type="paragraph" w:styleId="Heading2">
    <w:name w:val="heading 2"/>
    <w:basedOn w:val="Normal"/>
    <w:next w:val="BodyText"/>
    <w:uiPriority w:val="9"/>
    <w:unhideWhenUsed/>
    <w:qFormat/>
    <w:rsid w:val="00901FB7"/>
    <w:pPr>
      <w:keepNext/>
      <w:keepLines/>
      <w:outlineLvl w:val="1"/>
    </w:pPr>
    <w:rPr>
      <w:rFonts w:asciiTheme="majorHAnsi" w:eastAsiaTheme="majorEastAsia" w:hAnsiTheme="majorHAnsi" w:cstheme="majorBidi"/>
      <w:b/>
      <w:bCs/>
      <w:szCs w:val="28"/>
    </w:rPr>
  </w:style>
  <w:style w:type="paragraph" w:styleId="Heading3">
    <w:name w:val="heading 3"/>
    <w:basedOn w:val="Normal"/>
    <w:next w:val="BodyText"/>
    <w:uiPriority w:val="9"/>
    <w:unhideWhenUsed/>
    <w:qFormat/>
    <w:rsid w:val="00901FB7"/>
    <w:pPr>
      <w:keepNext/>
      <w:keepLines/>
      <w:outlineLvl w:val="2"/>
    </w:pPr>
    <w:rPr>
      <w:rFonts w:asciiTheme="majorHAnsi" w:eastAsiaTheme="majorEastAsia" w:hAnsiTheme="majorHAnsi" w:cstheme="majorBidi"/>
      <w:b/>
      <w:bCs/>
      <w:i/>
    </w:rPr>
  </w:style>
  <w:style w:type="paragraph" w:styleId="Heading4">
    <w:name w:val="heading 4"/>
    <w:basedOn w:val="Normal"/>
    <w:next w:val="BodyText"/>
    <w:uiPriority w:val="9"/>
    <w:unhideWhenUsed/>
    <w:qFormat/>
    <w:rsid w:val="008174AC"/>
    <w:pPr>
      <w:keepNext/>
      <w:keepLines/>
      <w:ind w:firstLine="720"/>
      <w:outlineLvl w:val="3"/>
    </w:pPr>
    <w:rPr>
      <w:rFonts w:asciiTheme="majorHAnsi" w:eastAsiaTheme="majorEastAsia" w:hAnsiTheme="majorHAnsi" w:cstheme="majorBidi"/>
      <w:b/>
      <w:bCs/>
    </w:rPr>
  </w:style>
  <w:style w:type="paragraph" w:styleId="Heading5">
    <w:name w:val="heading 5"/>
    <w:basedOn w:val="Normal"/>
    <w:next w:val="BodyText"/>
    <w:uiPriority w:val="9"/>
    <w:unhideWhenUsed/>
    <w:qFormat/>
    <w:rsid w:val="00BD022F"/>
    <w:pPr>
      <w:keepNext/>
      <w:keepLines/>
      <w:ind w:firstLine="720"/>
      <w:outlineLvl w:val="4"/>
    </w:pPr>
    <w:rPr>
      <w:rFonts w:asciiTheme="majorHAnsi" w:eastAsiaTheme="majorEastAsia" w:hAnsiTheme="majorHAnsi" w:cstheme="majorBidi"/>
      <w:b/>
      <w:i/>
      <w:iCs/>
    </w:rPr>
  </w:style>
  <w:style w:type="paragraph" w:styleId="Heading6">
    <w:name w:val="heading 6"/>
    <w:basedOn w:val="Normal"/>
    <w:next w:val="BodyText"/>
    <w:uiPriority w:val="9"/>
    <w:unhideWhenUsed/>
    <w:qFormat/>
    <w:pPr>
      <w:keepNext/>
      <w:keepLines/>
      <w:spacing w:before="200"/>
      <w:outlineLvl w:val="5"/>
    </w:pPr>
    <w:rPr>
      <w:rFonts w:asciiTheme="majorHAnsi" w:eastAsiaTheme="majorEastAsia" w:hAnsiTheme="majorHAnsi" w:cstheme="majorBidi"/>
      <w:color w:val="4472C4" w:themeColor="accent1"/>
    </w:rPr>
  </w:style>
  <w:style w:type="paragraph" w:styleId="Heading7">
    <w:name w:val="heading 7"/>
    <w:basedOn w:val="Normal"/>
    <w:next w:val="BodyText"/>
    <w:uiPriority w:val="9"/>
    <w:unhideWhenUsed/>
    <w:qFormat/>
    <w:pPr>
      <w:keepNext/>
      <w:keepLines/>
      <w:spacing w:before="200"/>
      <w:outlineLvl w:val="6"/>
    </w:pPr>
    <w:rPr>
      <w:rFonts w:asciiTheme="majorHAnsi" w:eastAsiaTheme="majorEastAsia" w:hAnsiTheme="majorHAnsi" w:cstheme="majorBidi"/>
      <w:color w:val="4472C4" w:themeColor="accent1"/>
    </w:rPr>
  </w:style>
  <w:style w:type="paragraph" w:styleId="Heading8">
    <w:name w:val="heading 8"/>
    <w:basedOn w:val="Normal"/>
    <w:next w:val="BodyText"/>
    <w:uiPriority w:val="9"/>
    <w:unhideWhenUsed/>
    <w:qFormat/>
    <w:pPr>
      <w:keepNext/>
      <w:keepLines/>
      <w:spacing w:before="200"/>
      <w:outlineLvl w:val="7"/>
    </w:pPr>
    <w:rPr>
      <w:rFonts w:asciiTheme="majorHAnsi" w:eastAsiaTheme="majorEastAsia" w:hAnsiTheme="majorHAnsi" w:cstheme="majorBidi"/>
      <w:color w:val="4472C4" w:themeColor="accent1"/>
    </w:rPr>
  </w:style>
  <w:style w:type="paragraph" w:styleId="Heading9">
    <w:name w:val="heading 9"/>
    <w:basedOn w:val="Normal"/>
    <w:next w:val="BodyText"/>
    <w:uiPriority w:val="9"/>
    <w:unhideWhenUsed/>
    <w:qFormat/>
    <w:pPr>
      <w:keepNext/>
      <w:keepLines/>
      <w:spacing w:before="200"/>
      <w:outlineLvl w:val="8"/>
    </w:pPr>
    <w:rPr>
      <w:rFonts w:asciiTheme="majorHAnsi" w:eastAsiaTheme="majorEastAsia" w:hAnsiTheme="majorHAnsi" w:cstheme="majorBidi"/>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9B41AF"/>
    <w:pPr>
      <w:ind w:firstLine="720"/>
    </w:pPr>
  </w:style>
  <w:style w:type="paragraph" w:customStyle="1" w:styleId="FirstParagraph">
    <w:name w:val="First Paragraph"/>
    <w:basedOn w:val="BodyText"/>
    <w:next w:val="BodyText"/>
    <w:qFormat/>
    <w:rsid w:val="008174AC"/>
  </w:style>
  <w:style w:type="paragraph" w:customStyle="1" w:styleId="Compact">
    <w:name w:val="Compact"/>
    <w:basedOn w:val="BodyText"/>
    <w:qFormat/>
    <w:rsid w:val="00387689"/>
    <w:pPr>
      <w:spacing w:line="240" w:lineRule="auto"/>
      <w:ind w:firstLine="0"/>
    </w:pPr>
  </w:style>
  <w:style w:type="paragraph" w:styleId="Title">
    <w:name w:val="Title"/>
    <w:basedOn w:val="Normal"/>
    <w:next w:val="BodyText"/>
    <w:link w:val="TitleChar"/>
    <w:qFormat/>
    <w:rsid w:val="00E401FC"/>
    <w:pPr>
      <w:jc w:val="center"/>
      <w:outlineLvl w:val="0"/>
    </w:pPr>
    <w:rPr>
      <w:b/>
      <w:bCs/>
    </w:rPr>
  </w:style>
  <w:style w:type="paragraph" w:styleId="Subtitle">
    <w:name w:val="Subtitle"/>
    <w:basedOn w:val="Title"/>
    <w:next w:val="BodyText"/>
    <w:qFormat/>
    <w:rsid w:val="00E401FC"/>
    <w:pPr>
      <w:outlineLvl w:val="1"/>
    </w:pPr>
    <w:rPr>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rsid w:val="0051128C"/>
    <w:pPr>
      <w:keepNext/>
      <w:keepLines/>
      <w:spacing w:before="300" w:after="300"/>
    </w:pPr>
    <w:rPr>
      <w:szCs w:val="20"/>
    </w:rPr>
  </w:style>
  <w:style w:type="paragraph" w:styleId="Bibliography">
    <w:name w:val="Bibliography"/>
    <w:basedOn w:val="Normal"/>
    <w:qFormat/>
    <w:rsid w:val="00CB7758"/>
    <w:pPr>
      <w:ind w:left="720" w:hanging="720"/>
    </w:pPr>
  </w:style>
  <w:style w:type="paragraph" w:styleId="BlockText">
    <w:name w:val="Block Text"/>
    <w:basedOn w:val="BodyText"/>
    <w:next w:val="BodyText"/>
    <w:uiPriority w:val="9"/>
    <w:unhideWhenUsed/>
    <w:qFormat/>
    <w:rsid w:val="0017682D"/>
    <w:pPr>
      <w:ind w:left="720" w:right="720" w:firstLine="0"/>
    </w:pPr>
  </w:style>
  <w:style w:type="paragraph" w:styleId="FootnoteText">
    <w:name w:val="footnote text"/>
    <w:basedOn w:val="Normal"/>
    <w:uiPriority w:val="9"/>
    <w:unhideWhenUsed/>
    <w:qFormat/>
  </w:style>
  <w:style w:type="table" w:customStyle="1" w:styleId="Table">
    <w:name w:val="Table"/>
    <w:semiHidden/>
    <w:unhideWhenUsed/>
    <w:qFormat/>
    <w:rsid w:val="00387689"/>
    <w:pPr>
      <w:spacing w:before="60" w:after="60"/>
    </w:pPr>
    <w:tblPr>
      <w:tblInd w:w="0" w:type="dxa"/>
      <w:tblBorders>
        <w:bottom w:val="single" w:sz="4" w:space="0" w:color="auto"/>
      </w:tblBorders>
      <w:tblCellMar>
        <w:top w:w="58" w:type="dxa"/>
        <w:left w:w="58" w:type="dxa"/>
        <w:bottom w:w="58" w:type="dxa"/>
        <w:right w:w="58" w:type="dxa"/>
      </w:tblCellMar>
    </w:tblPr>
    <w:tcPr>
      <w:vAlign w:val="center"/>
    </w:tcPr>
    <w:tblStylePr w:type="firstRow">
      <w:tblPr/>
      <w:tcPr>
        <w:tcBorders>
          <w:top w:val="single" w:sz="4" w:space="0" w:color="auto"/>
          <w:left w:val="nil"/>
          <w:bottom w:val="single" w:sz="4" w:space="0" w:color="auto"/>
          <w:right w:val="nil"/>
          <w:insideH w:val="nil"/>
          <w:insideV w:val="nil"/>
          <w:tl2br w:val="nil"/>
          <w:tr2bl w:val="nil"/>
        </w:tcBorders>
      </w:tcPr>
    </w:tblStylePr>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Caption">
    <w:name w:val="caption"/>
    <w:basedOn w:val="Normal"/>
    <w:link w:val="CaptionChar"/>
    <w:rsid w:val="003B7C65"/>
    <w:pPr>
      <w:keepNext/>
      <w:keepLines/>
      <w:spacing w:after="120"/>
    </w:pPr>
    <w:rPr>
      <w:i/>
    </w:rPr>
  </w:style>
  <w:style w:type="paragraph" w:customStyle="1" w:styleId="TableCaption">
    <w:name w:val="Table Caption"/>
    <w:basedOn w:val="Caption"/>
  </w:style>
  <w:style w:type="paragraph" w:customStyle="1" w:styleId="ImageCaption">
    <w:name w:val="Image Caption"/>
    <w:basedOn w:val="Caption"/>
  </w:style>
  <w:style w:type="paragraph" w:customStyle="1" w:styleId="Figure">
    <w:name w:val="Figure"/>
    <w:basedOn w:val="Normal"/>
    <w:link w:val="FigureChar"/>
    <w:rsid w:val="00D630B7"/>
    <w:pPr>
      <w:spacing w:line="240" w:lineRule="auto"/>
    </w:pPr>
  </w:style>
  <w:style w:type="paragraph" w:customStyle="1" w:styleId="CaptionedFigure">
    <w:name w:val="Captioned Figure"/>
    <w:basedOn w:val="Figure"/>
    <w:rsid w:val="00AE5BBA"/>
  </w:style>
  <w:style w:type="character" w:customStyle="1" w:styleId="CaptionChar">
    <w:name w:val="Caption Char"/>
    <w:basedOn w:val="DefaultParagraphFont"/>
    <w:link w:val="Caption"/>
    <w:rsid w:val="003B7C65"/>
    <w:rPr>
      <w:i/>
    </w:rPr>
  </w:style>
  <w:style w:type="character" w:customStyle="1" w:styleId="VerbatimChar">
    <w:name w:val="Verbatim Char"/>
    <w:basedOn w:val="CaptionChar"/>
    <w:link w:val="SourceCode"/>
    <w:rPr>
      <w:rFonts w:ascii="Consolas" w:hAnsi="Consolas"/>
      <w:i/>
      <w:sz w:val="22"/>
    </w:rPr>
  </w:style>
  <w:style w:type="character" w:customStyle="1" w:styleId="SectionNumber">
    <w:name w:val="Section Number"/>
    <w:basedOn w:val="CaptionChar"/>
    <w:rPr>
      <w:i/>
    </w:rPr>
  </w:style>
  <w:style w:type="character" w:styleId="FootnoteReference">
    <w:name w:val="footnote reference"/>
    <w:basedOn w:val="CaptionChar"/>
    <w:rPr>
      <w:i/>
      <w:vertAlign w:val="superscript"/>
    </w:rPr>
  </w:style>
  <w:style w:type="character" w:styleId="Hyperlink">
    <w:name w:val="Hyperlink"/>
    <w:basedOn w:val="CaptionChar"/>
    <w:rsid w:val="00250BD5"/>
    <w:rPr>
      <w:i w:val="0"/>
      <w:color w:val="4472C4"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2F5496" w:themeColor="accent1" w:themeShade="BF"/>
    </w:rPr>
  </w:style>
  <w:style w:type="character" w:customStyle="1" w:styleId="BodyTextChar">
    <w:name w:val="Body Text Char"/>
    <w:basedOn w:val="DefaultParagraphFont"/>
    <w:link w:val="BodyText"/>
    <w:rsid w:val="009B41AF"/>
  </w:style>
  <w:style w:type="paragraph" w:customStyle="1" w:styleId="red">
    <w:name w:val="red"/>
    <w:basedOn w:val="BodyText"/>
    <w:link w:val="redChar"/>
    <w:qFormat/>
    <w:rsid w:val="00385D19"/>
    <w:rPr>
      <w:color w:val="FF0000"/>
    </w:rPr>
  </w:style>
  <w:style w:type="character" w:customStyle="1" w:styleId="redChar">
    <w:name w:val="red Char"/>
    <w:basedOn w:val="BodyTextChar"/>
    <w:link w:val="red"/>
    <w:rsid w:val="00385D19"/>
    <w:rPr>
      <w:color w:val="FF0000"/>
    </w:rPr>
  </w:style>
  <w:style w:type="paragraph" w:customStyle="1" w:styleId="SourceCode">
    <w:name w:val="Source Code"/>
    <w:basedOn w:val="Normal"/>
    <w:link w:val="VerbatimChar"/>
    <w:pPr>
      <w:shd w:val="clear" w:color="auto" w:fill="F1F3F5"/>
      <w:wordWrap w:val="0"/>
    </w:pPr>
  </w:style>
  <w:style w:type="character" w:customStyle="1" w:styleId="KeywordTok">
    <w:name w:val="KeywordTok"/>
    <w:basedOn w:val="VerbatimChar"/>
    <w:rPr>
      <w:rFonts w:ascii="Consolas" w:hAnsi="Consolas"/>
      <w:i/>
      <w:color w:val="003B4F"/>
      <w:sz w:val="22"/>
      <w:shd w:val="clear" w:color="auto" w:fill="F1F3F5"/>
    </w:rPr>
  </w:style>
  <w:style w:type="character" w:customStyle="1" w:styleId="DataTypeTok">
    <w:name w:val="DataTypeTok"/>
    <w:basedOn w:val="VerbatimChar"/>
    <w:rPr>
      <w:rFonts w:ascii="Consolas" w:hAnsi="Consolas"/>
      <w:i/>
      <w:color w:val="AD0000"/>
      <w:sz w:val="22"/>
      <w:shd w:val="clear" w:color="auto" w:fill="F1F3F5"/>
    </w:rPr>
  </w:style>
  <w:style w:type="character" w:customStyle="1" w:styleId="DecValTok">
    <w:name w:val="DecValTok"/>
    <w:basedOn w:val="VerbatimChar"/>
    <w:rPr>
      <w:rFonts w:ascii="Consolas" w:hAnsi="Consolas"/>
      <w:i/>
      <w:color w:val="AD0000"/>
      <w:sz w:val="22"/>
      <w:shd w:val="clear" w:color="auto" w:fill="F1F3F5"/>
    </w:rPr>
  </w:style>
  <w:style w:type="character" w:customStyle="1" w:styleId="BaseNTok">
    <w:name w:val="BaseNTok"/>
    <w:basedOn w:val="VerbatimChar"/>
    <w:rPr>
      <w:rFonts w:ascii="Consolas" w:hAnsi="Consolas"/>
      <w:i/>
      <w:color w:val="AD0000"/>
      <w:sz w:val="22"/>
      <w:shd w:val="clear" w:color="auto" w:fill="F1F3F5"/>
    </w:rPr>
  </w:style>
  <w:style w:type="character" w:customStyle="1" w:styleId="FloatTok">
    <w:name w:val="FloatTok"/>
    <w:basedOn w:val="VerbatimChar"/>
    <w:rPr>
      <w:rFonts w:ascii="Consolas" w:hAnsi="Consolas"/>
      <w:i/>
      <w:color w:val="AD0000"/>
      <w:sz w:val="22"/>
      <w:shd w:val="clear" w:color="auto" w:fill="F1F3F5"/>
    </w:rPr>
  </w:style>
  <w:style w:type="character" w:customStyle="1" w:styleId="ConstantTok">
    <w:name w:val="ConstantTok"/>
    <w:basedOn w:val="VerbatimChar"/>
    <w:rPr>
      <w:rFonts w:ascii="Consolas" w:hAnsi="Consolas"/>
      <w:i/>
      <w:color w:val="8F5902"/>
      <w:sz w:val="22"/>
      <w:shd w:val="clear" w:color="auto" w:fill="F1F3F5"/>
    </w:rPr>
  </w:style>
  <w:style w:type="character" w:customStyle="1" w:styleId="CharTok">
    <w:name w:val="CharTok"/>
    <w:basedOn w:val="VerbatimChar"/>
    <w:rPr>
      <w:rFonts w:ascii="Consolas" w:hAnsi="Consolas"/>
      <w:i/>
      <w:color w:val="20794D"/>
      <w:sz w:val="22"/>
      <w:shd w:val="clear" w:color="auto" w:fill="F1F3F5"/>
    </w:rPr>
  </w:style>
  <w:style w:type="character" w:customStyle="1" w:styleId="SpecialCharTok">
    <w:name w:val="SpecialCharTok"/>
    <w:basedOn w:val="VerbatimChar"/>
    <w:rPr>
      <w:rFonts w:ascii="Consolas" w:hAnsi="Consolas"/>
      <w:i/>
      <w:color w:val="5E5E5E"/>
      <w:sz w:val="22"/>
      <w:shd w:val="clear" w:color="auto" w:fill="F1F3F5"/>
    </w:rPr>
  </w:style>
  <w:style w:type="character" w:customStyle="1" w:styleId="StringTok">
    <w:name w:val="StringTok"/>
    <w:basedOn w:val="VerbatimChar"/>
    <w:rPr>
      <w:rFonts w:ascii="Consolas" w:hAnsi="Consolas"/>
      <w:i/>
      <w:color w:val="20794D"/>
      <w:sz w:val="22"/>
      <w:shd w:val="clear" w:color="auto" w:fill="F1F3F5"/>
    </w:rPr>
  </w:style>
  <w:style w:type="character" w:customStyle="1" w:styleId="VerbatimStringTok">
    <w:name w:val="VerbatimStringTok"/>
    <w:basedOn w:val="VerbatimChar"/>
    <w:rPr>
      <w:rFonts w:ascii="Consolas" w:hAnsi="Consolas"/>
      <w:i/>
      <w:color w:val="20794D"/>
      <w:sz w:val="22"/>
      <w:shd w:val="clear" w:color="auto" w:fill="F1F3F5"/>
    </w:rPr>
  </w:style>
  <w:style w:type="character" w:customStyle="1" w:styleId="SpecialStringTok">
    <w:name w:val="SpecialStringTok"/>
    <w:basedOn w:val="VerbatimChar"/>
    <w:rPr>
      <w:rFonts w:ascii="Consolas" w:hAnsi="Consolas"/>
      <w:i/>
      <w:color w:val="20794D"/>
      <w:sz w:val="22"/>
      <w:shd w:val="clear" w:color="auto" w:fill="F1F3F5"/>
    </w:rPr>
  </w:style>
  <w:style w:type="character" w:customStyle="1" w:styleId="ImportTok">
    <w:name w:val="ImportTok"/>
    <w:basedOn w:val="VerbatimChar"/>
    <w:rPr>
      <w:rFonts w:ascii="Consolas" w:hAnsi="Consolas"/>
      <w:i/>
      <w:color w:val="00769E"/>
      <w:sz w:val="22"/>
      <w:shd w:val="clear" w:color="auto" w:fill="F1F3F5"/>
    </w:rPr>
  </w:style>
  <w:style w:type="character" w:customStyle="1" w:styleId="CommentTok">
    <w:name w:val="CommentTok"/>
    <w:basedOn w:val="VerbatimChar"/>
    <w:rPr>
      <w:rFonts w:ascii="Consolas" w:hAnsi="Consolas"/>
      <w:i/>
      <w:color w:val="5E5E5E"/>
      <w:sz w:val="22"/>
      <w:shd w:val="clear" w:color="auto" w:fill="F1F3F5"/>
    </w:rPr>
  </w:style>
  <w:style w:type="character" w:customStyle="1" w:styleId="DocumentationTok">
    <w:name w:val="DocumentationTok"/>
    <w:basedOn w:val="VerbatimChar"/>
    <w:rPr>
      <w:rFonts w:ascii="Consolas" w:hAnsi="Consolas"/>
      <w:i w:val="0"/>
      <w:color w:val="5E5E5E"/>
      <w:sz w:val="22"/>
      <w:shd w:val="clear" w:color="auto" w:fill="F1F3F5"/>
    </w:rPr>
  </w:style>
  <w:style w:type="character" w:customStyle="1" w:styleId="AnnotationTok">
    <w:name w:val="AnnotationTok"/>
    <w:basedOn w:val="VerbatimChar"/>
    <w:rPr>
      <w:rFonts w:ascii="Consolas" w:hAnsi="Consolas"/>
      <w:i/>
      <w:color w:val="5E5E5E"/>
      <w:sz w:val="22"/>
      <w:shd w:val="clear" w:color="auto" w:fill="F1F3F5"/>
    </w:rPr>
  </w:style>
  <w:style w:type="character" w:customStyle="1" w:styleId="CommentVarTok">
    <w:name w:val="CommentVarTok"/>
    <w:basedOn w:val="VerbatimChar"/>
    <w:rPr>
      <w:rFonts w:ascii="Consolas" w:hAnsi="Consolas"/>
      <w:i w:val="0"/>
      <w:color w:val="5E5E5E"/>
      <w:sz w:val="22"/>
      <w:shd w:val="clear" w:color="auto" w:fill="F1F3F5"/>
    </w:rPr>
  </w:style>
  <w:style w:type="character" w:customStyle="1" w:styleId="OtherTok">
    <w:name w:val="OtherTok"/>
    <w:basedOn w:val="VerbatimChar"/>
    <w:rPr>
      <w:rFonts w:ascii="Consolas" w:hAnsi="Consolas"/>
      <w:i/>
      <w:color w:val="003B4F"/>
      <w:sz w:val="22"/>
      <w:shd w:val="clear" w:color="auto" w:fill="F1F3F5"/>
    </w:rPr>
  </w:style>
  <w:style w:type="character" w:customStyle="1" w:styleId="FunctionTok">
    <w:name w:val="FunctionTok"/>
    <w:basedOn w:val="VerbatimChar"/>
    <w:rPr>
      <w:rFonts w:ascii="Consolas" w:hAnsi="Consolas"/>
      <w:i/>
      <w:color w:val="4758AB"/>
      <w:sz w:val="22"/>
      <w:shd w:val="clear" w:color="auto" w:fill="F1F3F5"/>
    </w:rPr>
  </w:style>
  <w:style w:type="character" w:customStyle="1" w:styleId="VariableTok">
    <w:name w:val="VariableTok"/>
    <w:basedOn w:val="VerbatimChar"/>
    <w:rPr>
      <w:rFonts w:ascii="Consolas" w:hAnsi="Consolas"/>
      <w:i/>
      <w:color w:val="111111"/>
      <w:sz w:val="22"/>
      <w:shd w:val="clear" w:color="auto" w:fill="F1F3F5"/>
    </w:rPr>
  </w:style>
  <w:style w:type="character" w:customStyle="1" w:styleId="ControlFlowTok">
    <w:name w:val="ControlFlowTok"/>
    <w:basedOn w:val="VerbatimChar"/>
    <w:rPr>
      <w:rFonts w:ascii="Consolas" w:hAnsi="Consolas"/>
      <w:i/>
      <w:color w:val="003B4F"/>
      <w:sz w:val="22"/>
      <w:shd w:val="clear" w:color="auto" w:fill="F1F3F5"/>
    </w:rPr>
  </w:style>
  <w:style w:type="character" w:customStyle="1" w:styleId="OperatorTok">
    <w:name w:val="OperatorTok"/>
    <w:basedOn w:val="VerbatimChar"/>
    <w:rPr>
      <w:rFonts w:ascii="Consolas" w:hAnsi="Consolas"/>
      <w:i/>
      <w:color w:val="5E5E5E"/>
      <w:sz w:val="22"/>
      <w:shd w:val="clear" w:color="auto" w:fill="F1F3F5"/>
    </w:rPr>
  </w:style>
  <w:style w:type="character" w:customStyle="1" w:styleId="BuiltInTok">
    <w:name w:val="BuiltInTok"/>
    <w:basedOn w:val="VerbatimChar"/>
    <w:rPr>
      <w:rFonts w:ascii="Consolas" w:hAnsi="Consolas"/>
      <w:i/>
      <w:color w:val="003B4F"/>
      <w:sz w:val="22"/>
      <w:shd w:val="clear" w:color="auto" w:fill="F1F3F5"/>
    </w:rPr>
  </w:style>
  <w:style w:type="character" w:customStyle="1" w:styleId="ExtensionTok">
    <w:name w:val="ExtensionTok"/>
    <w:basedOn w:val="VerbatimChar"/>
    <w:rPr>
      <w:rFonts w:ascii="Consolas" w:hAnsi="Consolas"/>
      <w:i/>
      <w:color w:val="003B4F"/>
      <w:sz w:val="22"/>
      <w:shd w:val="clear" w:color="auto" w:fill="F1F3F5"/>
    </w:rPr>
  </w:style>
  <w:style w:type="character" w:customStyle="1" w:styleId="PreprocessorTok">
    <w:name w:val="PreprocessorTok"/>
    <w:basedOn w:val="VerbatimChar"/>
    <w:rPr>
      <w:rFonts w:ascii="Consolas" w:hAnsi="Consolas"/>
      <w:i/>
      <w:color w:val="AD0000"/>
      <w:sz w:val="22"/>
      <w:shd w:val="clear" w:color="auto" w:fill="F1F3F5"/>
    </w:rPr>
  </w:style>
  <w:style w:type="character" w:customStyle="1" w:styleId="AttributeTok">
    <w:name w:val="AttributeTok"/>
    <w:basedOn w:val="VerbatimChar"/>
    <w:rPr>
      <w:rFonts w:ascii="Consolas" w:hAnsi="Consolas"/>
      <w:i/>
      <w:color w:val="657422"/>
      <w:sz w:val="22"/>
      <w:shd w:val="clear" w:color="auto" w:fill="F1F3F5"/>
    </w:rPr>
  </w:style>
  <w:style w:type="character" w:customStyle="1" w:styleId="RegionMarkerTok">
    <w:name w:val="RegionMarkerTok"/>
    <w:basedOn w:val="VerbatimChar"/>
    <w:rPr>
      <w:rFonts w:ascii="Consolas" w:hAnsi="Consolas"/>
      <w:i/>
      <w:color w:val="003B4F"/>
      <w:sz w:val="22"/>
      <w:shd w:val="clear" w:color="auto" w:fill="F1F3F5"/>
    </w:rPr>
  </w:style>
  <w:style w:type="character" w:customStyle="1" w:styleId="InformationTok">
    <w:name w:val="InformationTok"/>
    <w:basedOn w:val="VerbatimChar"/>
    <w:rPr>
      <w:rFonts w:ascii="Consolas" w:hAnsi="Consolas"/>
      <w:i/>
      <w:color w:val="5E5E5E"/>
      <w:sz w:val="22"/>
      <w:shd w:val="clear" w:color="auto" w:fill="F1F3F5"/>
    </w:rPr>
  </w:style>
  <w:style w:type="character" w:customStyle="1" w:styleId="WarningTok">
    <w:name w:val="WarningTok"/>
    <w:basedOn w:val="VerbatimChar"/>
    <w:rPr>
      <w:rFonts w:ascii="Consolas" w:hAnsi="Consolas"/>
      <w:i w:val="0"/>
      <w:color w:val="5E5E5E"/>
      <w:sz w:val="22"/>
      <w:shd w:val="clear" w:color="auto" w:fill="F1F3F5"/>
    </w:rPr>
  </w:style>
  <w:style w:type="character" w:customStyle="1" w:styleId="AlertTok">
    <w:name w:val="AlertTok"/>
    <w:basedOn w:val="VerbatimChar"/>
    <w:rPr>
      <w:rFonts w:ascii="Consolas" w:hAnsi="Consolas"/>
      <w:i/>
      <w:color w:val="AD0000"/>
      <w:sz w:val="22"/>
      <w:shd w:val="clear" w:color="auto" w:fill="F1F3F5"/>
    </w:rPr>
  </w:style>
  <w:style w:type="character" w:customStyle="1" w:styleId="ErrorTok">
    <w:name w:val="ErrorTok"/>
    <w:basedOn w:val="VerbatimChar"/>
    <w:rPr>
      <w:rFonts w:ascii="Consolas" w:hAnsi="Consolas"/>
      <w:i/>
      <w:color w:val="AD0000"/>
      <w:sz w:val="22"/>
      <w:shd w:val="clear" w:color="auto" w:fill="F1F3F5"/>
    </w:rPr>
  </w:style>
  <w:style w:type="character" w:customStyle="1" w:styleId="NormalTok">
    <w:name w:val="NormalTok"/>
    <w:basedOn w:val="VerbatimChar"/>
    <w:rPr>
      <w:rFonts w:ascii="Consolas" w:hAnsi="Consolas"/>
      <w:i/>
      <w:color w:val="003B4F"/>
      <w:sz w:val="22"/>
      <w:shd w:val="clear" w:color="auto" w:fill="F1F3F5"/>
    </w:rPr>
  </w:style>
  <w:style w:type="paragraph" w:styleId="Header">
    <w:name w:val="header"/>
    <w:basedOn w:val="Normal"/>
    <w:link w:val="HeaderChar"/>
    <w:uiPriority w:val="99"/>
    <w:unhideWhenUsed/>
    <w:rsid w:val="00340B9E"/>
    <w:pPr>
      <w:tabs>
        <w:tab w:val="center" w:pos="4680"/>
        <w:tab w:val="right" w:pos="9360"/>
      </w:tabs>
    </w:pPr>
  </w:style>
  <w:style w:type="character" w:customStyle="1" w:styleId="HeaderChar">
    <w:name w:val="Header Char"/>
    <w:basedOn w:val="DefaultParagraphFont"/>
    <w:link w:val="Header"/>
    <w:uiPriority w:val="99"/>
    <w:rsid w:val="00340B9E"/>
  </w:style>
  <w:style w:type="paragraph" w:styleId="Footer">
    <w:name w:val="footer"/>
    <w:basedOn w:val="Normal"/>
    <w:link w:val="FooterChar"/>
    <w:unhideWhenUsed/>
    <w:rsid w:val="00340B9E"/>
    <w:pPr>
      <w:tabs>
        <w:tab w:val="center" w:pos="4680"/>
        <w:tab w:val="right" w:pos="9360"/>
      </w:tabs>
    </w:pPr>
  </w:style>
  <w:style w:type="character" w:customStyle="1" w:styleId="FooterChar">
    <w:name w:val="Footer Char"/>
    <w:basedOn w:val="DefaultParagraphFont"/>
    <w:link w:val="Footer"/>
    <w:rsid w:val="00340B9E"/>
  </w:style>
  <w:style w:type="paragraph" w:customStyle="1" w:styleId="APAEnumerated">
    <w:name w:val="APAEnumerated"/>
    <w:basedOn w:val="BodyText"/>
    <w:link w:val="APAEnumeratedChar"/>
    <w:qFormat/>
    <w:rsid w:val="00717963"/>
    <w:pPr>
      <w:numPr>
        <w:numId w:val="1"/>
      </w:numPr>
      <w:ind w:left="792"/>
    </w:pPr>
  </w:style>
  <w:style w:type="character" w:customStyle="1" w:styleId="TitleChar">
    <w:name w:val="Title Char"/>
    <w:basedOn w:val="DefaultParagraphFont"/>
    <w:link w:val="Title"/>
    <w:rsid w:val="00010E42"/>
    <w:rPr>
      <w:b/>
      <w:bCs/>
    </w:rPr>
  </w:style>
  <w:style w:type="paragraph" w:customStyle="1" w:styleId="FigureTitle">
    <w:name w:val="FigureTitle"/>
    <w:basedOn w:val="Figure"/>
    <w:link w:val="FigureTitleChar"/>
    <w:qFormat/>
    <w:rsid w:val="00064E3B"/>
    <w:pPr>
      <w:keepNext/>
      <w:keepLines/>
      <w:spacing w:line="480" w:lineRule="auto"/>
      <w:outlineLvl w:val="0"/>
    </w:pPr>
    <w:rPr>
      <w:b/>
    </w:rPr>
  </w:style>
  <w:style w:type="character" w:customStyle="1" w:styleId="FigureChar">
    <w:name w:val="Figure Char"/>
    <w:basedOn w:val="DefaultParagraphFont"/>
    <w:link w:val="Figure"/>
    <w:rsid w:val="00D630B7"/>
  </w:style>
  <w:style w:type="character" w:customStyle="1" w:styleId="FigureTitleChar">
    <w:name w:val="FigureTitle Char"/>
    <w:basedOn w:val="FigureChar"/>
    <w:link w:val="FigureTitle"/>
    <w:rsid w:val="00064E3B"/>
    <w:rPr>
      <w:b/>
    </w:rPr>
  </w:style>
  <w:style w:type="paragraph" w:customStyle="1" w:styleId="FigureNote">
    <w:name w:val="FigureNote"/>
    <w:basedOn w:val="BodyText"/>
    <w:link w:val="FigureNoteChar"/>
    <w:qFormat/>
    <w:rsid w:val="00A946AC"/>
    <w:pPr>
      <w:spacing w:before="60"/>
      <w:ind w:firstLine="0"/>
    </w:pPr>
  </w:style>
  <w:style w:type="character" w:customStyle="1" w:styleId="FigureNoteChar">
    <w:name w:val="FigureNote Char"/>
    <w:basedOn w:val="BodyTextChar"/>
    <w:link w:val="FigureNote"/>
    <w:rsid w:val="00A946AC"/>
  </w:style>
  <w:style w:type="character" w:customStyle="1" w:styleId="APAEnumeratedChar">
    <w:name w:val="APAEnumerated Char"/>
    <w:basedOn w:val="BodyTextChar"/>
    <w:link w:val="APAEnumerated"/>
    <w:rsid w:val="00717963"/>
  </w:style>
  <w:style w:type="paragraph" w:customStyle="1" w:styleId="FigureWithNote">
    <w:name w:val="FigureWithNote"/>
    <w:basedOn w:val="Figure"/>
    <w:link w:val="FigureWithNoteChar"/>
    <w:qFormat/>
    <w:rsid w:val="00B42EBE"/>
    <w:pPr>
      <w:keepNext/>
    </w:pPr>
  </w:style>
  <w:style w:type="character" w:customStyle="1" w:styleId="FigureWithNoteChar">
    <w:name w:val="FigureWithNote Char"/>
    <w:basedOn w:val="FigureChar"/>
    <w:link w:val="FigureWithNote"/>
    <w:rsid w:val="00B42EBE"/>
  </w:style>
  <w:style w:type="paragraph" w:customStyle="1" w:styleId="FigureWithoutNote">
    <w:name w:val="FigureWithoutNote"/>
    <w:basedOn w:val="Figure"/>
    <w:link w:val="FigureWithoutNoteChar"/>
    <w:qFormat/>
    <w:rsid w:val="005566BA"/>
  </w:style>
  <w:style w:type="character" w:customStyle="1" w:styleId="FigureWithoutNoteChar">
    <w:name w:val="FigureWithoutNote Char"/>
    <w:basedOn w:val="FigureChar"/>
    <w:link w:val="FigureWithoutNote"/>
    <w:rsid w:val="005566BA"/>
  </w:style>
  <w:style w:type="paragraph" w:customStyle="1" w:styleId="AuthorNote">
    <w:name w:val="AuthorNote"/>
    <w:basedOn w:val="Author"/>
    <w:qFormat/>
    <w:rsid w:val="00C84525"/>
    <w:pPr>
      <w:keepNext w:val="0"/>
      <w:keepLines w:val="0"/>
      <w:spacing w:after="0" w:line="480" w:lineRule="auto"/>
      <w:ind w:firstLine="720"/>
      <w:jc w:val="left"/>
    </w:pPr>
  </w:style>
  <w:style w:type="paragraph" w:customStyle="1" w:styleId="BodyTextAfterTable">
    <w:name w:val="Body Text After Table"/>
    <w:basedOn w:val="BodyText"/>
    <w:link w:val="BodyTextAfterTableChar"/>
    <w:qFormat/>
    <w:rsid w:val="00BB3FEC"/>
    <w:pPr>
      <w:spacing w:before="240"/>
    </w:pPr>
  </w:style>
  <w:style w:type="character" w:customStyle="1" w:styleId="BodyTextAfterTableChar">
    <w:name w:val="Body Text After Table Char"/>
    <w:basedOn w:val="BodyTextChar"/>
    <w:link w:val="BodyTextAfterTable"/>
    <w:rsid w:val="00BB3FEC"/>
  </w:style>
  <w:style w:type="paragraph" w:customStyle="1" w:styleId="NoIndent">
    <w:name w:val="NoIndent"/>
    <w:basedOn w:val="BodyText"/>
    <w:link w:val="NoIndentChar"/>
    <w:qFormat/>
    <w:rsid w:val="004023D3"/>
    <w:pPr>
      <w:ind w:firstLine="0"/>
    </w:pPr>
  </w:style>
  <w:style w:type="character" w:customStyle="1" w:styleId="NoIndentChar">
    <w:name w:val="NoIndent Char"/>
    <w:basedOn w:val="BodyTextChar"/>
    <w:link w:val="NoIndent"/>
    <w:rsid w:val="004023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openpsychometrics.org/_rawdata/" TargetMode="External"/><Relationship Id="rId13" Type="http://schemas.openxmlformats.org/officeDocument/2006/relationships/image" Target="media/image5.png"/><Relationship Id="rId18" Type="http://schemas.openxmlformats.org/officeDocument/2006/relationships/hyperlink" Target="https://doi.org/10.1017/9781316161579.009" TargetMode="External"/><Relationship Id="rId26" Type="http://schemas.openxmlformats.org/officeDocument/2006/relationships/hyperlink" Target="https://doi.org/10.1007/978-1-4757-2691-6_5" TargetMode="External"/><Relationship Id="rId3" Type="http://schemas.openxmlformats.org/officeDocument/2006/relationships/settings" Target="settings.xml"/><Relationship Id="rId21" Type="http://schemas.openxmlformats.org/officeDocument/2006/relationships/hyperlink" Target="https://doi.org/10.1177/1948550617693063" TargetMode="Externa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hyperlink" Target="https://doi.org/10.1111/pops.12022" TargetMode="External"/><Relationship Id="rId25" Type="http://schemas.openxmlformats.org/officeDocument/2006/relationships/hyperlink" Target="https://doi.org/10.1038/s44159-023-00161-4" TargetMode="External"/><Relationship Id="rId2" Type="http://schemas.openxmlformats.org/officeDocument/2006/relationships/styles" Target="styles.xml"/><Relationship Id="rId16" Type="http://schemas.openxmlformats.org/officeDocument/2006/relationships/hyperlink" Target="https://doi.org/10.3102/10769986022003265" TargetMode="External"/><Relationship Id="rId20" Type="http://schemas.openxmlformats.org/officeDocument/2006/relationships/hyperlink" Target="https://doi.org/10.1177/2515245920952393"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hyperlink" Target="https://doi.org/10.1007/s11336-005-1295-9" TargetMode="External"/><Relationship Id="rId5" Type="http://schemas.openxmlformats.org/officeDocument/2006/relationships/footnotes" Target="footnotes.xml"/><Relationship Id="rId15" Type="http://schemas.openxmlformats.org/officeDocument/2006/relationships/hyperlink" Target="https://doi.org/10.18637/jss.v048.i06" TargetMode="External"/><Relationship Id="rId23" Type="http://schemas.openxmlformats.org/officeDocument/2006/relationships/hyperlink" Target="https://doi.org/10.1177/2515245919882903" TargetMode="External"/><Relationship Id="rId28" Type="http://schemas.openxmlformats.org/officeDocument/2006/relationships/hyperlink" Target="https://doi.org/10.1177/014662168400800201" TargetMode="External"/><Relationship Id="rId10" Type="http://schemas.openxmlformats.org/officeDocument/2006/relationships/header" Target="header1.xml"/><Relationship Id="rId19" Type="http://schemas.openxmlformats.org/officeDocument/2006/relationships/hyperlink" Target="https://doi.org/10.1038/s44271-023-00026-9"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hyperlink" Target="https://doi.org/ghtczb" TargetMode="External"/><Relationship Id="rId27" Type="http://schemas.openxmlformats.org/officeDocument/2006/relationships/hyperlink" Target="https://doi.org/10.1007/978-3-319-28099-8_1262-1"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
      <a:majorFont>
        <a:latin typeface="Times New Roman"/>
        <a:ea typeface=""/>
        <a:cs typeface=""/>
      </a:majorFont>
      <a:minorFont>
        <a:latin typeface="Times New Roman"/>
        <a:ea typeface=""/>
        <a:cs typeface=""/>
      </a:minorFont>
    </a:fontScheme>
    <a:fmtScheme name="Inset">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a:bevelT w="101600" h="25400" prst="softRound"/>
            <a:contourClr>
              <a:schemeClr val="phClr">
                <a:shade val="30000"/>
              </a:scheme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38</Pages>
  <Words>6461</Words>
  <Characters>36834</Characters>
  <Application>Microsoft Office Word</Application>
  <DocSecurity>0</DocSecurity>
  <Lines>306</Lines>
  <Paragraphs>86</Paragraphs>
  <ScaleCrop>false</ScaleCrop>
  <Company/>
  <LinksUpToDate>false</LinksUpToDate>
  <CharactersWithSpaces>43209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graded response model, item response theory, mirt, ggmirt, psych, R</cp:keywords>
  <cp:lastModifiedBy>Rizqy Amelia Zein</cp:lastModifiedBy>
  <cp:revision>7</cp:revision>
  <dcterms:created xsi:type="dcterms:W3CDTF">2024-01-25T13:09:00Z</dcterms:created>
  <dcterms:modified xsi:type="dcterms:W3CDTF">2024-08-18T08:06:00Z</dcterms:modified>
  <dc:language>en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note">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ap-location">
    <vt:lpwstr>top</vt:lpwstr>
  </property>
  <property fmtid="{D5CDD505-2E9C-101B-9397-08002B2CF9AE}" pid="10" name="csl">
    <vt:lpwstr>_extensions/wjschne/apaquarto/apa.csl</vt:lpwstr>
  </property>
  <property fmtid="{D5CDD505-2E9C-101B-9397-08002B2CF9AE}" pid="11" name="editor">
    <vt:lpwstr>visual</vt:lpwstr>
  </property>
  <property fmtid="{D5CDD505-2E9C-101B-9397-08002B2CF9AE}" pid="12" name="execute">
    <vt:lpwstr/>
  </property>
  <property fmtid="{D5CDD505-2E9C-101B-9397-08002B2CF9AE}" pid="13" name="fig-cap-location">
    <vt:lpwstr>top</vt:lpwstr>
  </property>
  <property fmtid="{D5CDD505-2E9C-101B-9397-08002B2CF9AE}" pid="14" name="header-includes">
    <vt:lpwstr/>
  </property>
  <property fmtid="{D5CDD505-2E9C-101B-9397-08002B2CF9AE}" pid="15" name="include-after">
    <vt:lpwstr/>
  </property>
  <property fmtid="{D5CDD505-2E9C-101B-9397-08002B2CF9AE}" pid="16" name="include-before">
    <vt:lpwstr/>
  </property>
  <property fmtid="{D5CDD505-2E9C-101B-9397-08002B2CF9AE}" pid="17" name="knitr">
    <vt:lpwstr/>
  </property>
  <property fmtid="{D5CDD505-2E9C-101B-9397-08002B2CF9AE}" pid="18" name="labels">
    <vt:lpwstr/>
  </property>
  <property fmtid="{D5CDD505-2E9C-101B-9397-08002B2CF9AE}" pid="19" name="revealjs-plugins">
    <vt:lpwstr/>
  </property>
  <property fmtid="{D5CDD505-2E9C-101B-9397-08002B2CF9AE}" pid="20" name="shorttitle">
    <vt:lpwstr>The Graded Response Model Tutorial</vt:lpwstr>
  </property>
  <property fmtid="{D5CDD505-2E9C-101B-9397-08002B2CF9AE}" pid="21" name="tbl-cap-location">
    <vt:lpwstr>top</vt:lpwstr>
  </property>
  <property fmtid="{D5CDD505-2E9C-101B-9397-08002B2CF9AE}" pid="22" name="toc-title">
    <vt:lpwstr>Table of contents</vt:lpwstr>
  </property>
</Properties>
</file>