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2029ca81c9219bf40e1e506572c141909b420c"/>
    <w:p>
      <w:pPr>
        <w:pStyle w:val="Heading1"/>
      </w:pPr>
      <w:r>
        <w:t xml:space="preserve">Getting Started with the Graded Response Model (GRM): A gentle introduction and tutorial in R</w:t>
      </w:r>
    </w:p>
    <w:p>
      <w:pPr>
        <w:pStyle w:val="FirstParagraph"/>
      </w:pPr>
    </w:p>
    <w:p>
      <w:pPr>
        <w:pStyle w:val="Author"/>
      </w:pPr>
      <w:r>
        <w:t xml:space="preserve">Rizqy Amelia Zein</w:t>
      </w:r>
      <w:r>
        <w:rPr>
          <w:vertAlign w:val="superscript"/>
        </w:rPr>
        <w:t xml:space="preserve">1,2</w:t>
      </w:r>
      <w:r>
        <w:t xml:space="preserve"> </w:t>
      </w:r>
      <w:r>
        <w:t xml:space="preserve">and Hanif Akhtar</w:t>
      </w:r>
      <w:r>
        <w:rPr>
          <w:vertAlign w:val="superscript"/>
        </w:rPr>
        <w:t xml:space="preserve">3,4</w:t>
      </w:r>
    </w:p>
    <w:p>
      <w:pPr>
        <w:pStyle w:val="Author"/>
      </w:pPr>
      <w:r>
        <w:rPr>
          <w:vertAlign w:val="superscript"/>
        </w:rPr>
        <w:t xml:space="preserve">1</w:t>
      </w:r>
      <w:r>
        <w:t xml:space="preserve">Psychology, Ludwig-Maximilians-Universität</w:t>
      </w:r>
    </w:p>
    <w:p>
      <w:pPr>
        <w:pStyle w:val="Author"/>
      </w:pPr>
      <w:r>
        <w:rPr>
          <w:vertAlign w:val="superscript"/>
        </w:rPr>
        <w:t xml:space="preserve">2</w:t>
      </w:r>
      <w:r>
        <w:t xml:space="preserve">Psychology, Universitas Airlangga</w:t>
      </w:r>
    </w:p>
    <w:p>
      <w:pPr>
        <w:pStyle w:val="Author"/>
      </w:pPr>
      <w:r>
        <w:rPr>
          <w:vertAlign w:val="superscript"/>
        </w:rPr>
        <w:t xml:space="preserve">3</w:t>
      </w:r>
      <w:r>
        <w:t xml:space="preserve">Psychology, ELTE Eötvös Loránd University</w:t>
      </w:r>
    </w:p>
    <w:p>
      <w:pPr>
        <w:pStyle w:val="Author"/>
      </w:pPr>
      <w:r>
        <w:rPr>
          <w:vertAlign w:val="superscript"/>
        </w:rPr>
        <w:t xml:space="preserve">4</w:t>
      </w:r>
      <w:r>
        <w:t xml:space="preserve">Psychology, Universitas Muhammadiyah Malang</w:t>
      </w:r>
    </w:p>
    <w:p>
      <w:pPr>
        <w:pStyle w:val="BodyText"/>
      </w:pPr>
    </w:p>
    <w:p>
      <w:pPr>
        <w:pStyle w:val="BodyText"/>
      </w:pPr>
    </w:p>
    <w:p>
      <w:pPr>
        <w:pStyle w:val="BodyText"/>
      </w:pPr>
    </w:p>
    <w:bookmarkEnd w:id="20"/>
    <w:bookmarkStart w:id="24" w:name="author-note"/>
    <w:p>
      <w:pPr>
        <w:pStyle w:val="Heading1"/>
      </w:pPr>
      <w:r>
        <w:t xml:space="preserve">Author Note</w:t>
      </w:r>
    </w:p>
    <w:p>
      <w:pPr>
        <w:pStyle w:val="AuthorNote"/>
      </w:pPr>
      <w:r>
        <w:t xml:space="preserve">Rizqy Amelia Zein</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https://orcid.org/0000-0001-7840-0299</w:t>
      </w:r>
    </w:p>
    <w:p>
      <w:pPr>
        <w:pStyle w:val="AuthorNote"/>
      </w:pPr>
      <w:r>
        <w:t xml:space="preserve">We declare we have no competing interests. The first author receives a PhD scholarship from the German Academic Exchange Service (Deutscher Akademischer Austauschdienst, DAAD).</w:t>
      </w:r>
    </w:p>
    <w:p>
      <w:pPr>
        <w:pStyle w:val="AuthorNote"/>
      </w:pPr>
      <w:r>
        <w:t xml:space="preserve">Correspondence concerning this article should be addressed to Rizqy Amelia Zein, Psychology, Ludwig-Maximilians-Universität, Leopoldstraße 13, Munich, 80802, Germany, Email: Amelia.Zein@psy.lmu.de</w:t>
      </w:r>
    </w:p>
    <w:bookmarkEnd w:id="24"/>
    <w:p>
      <w:r>
        <w:br w:type="page"/>
      </w:r>
    </w:p>
    <w:bookmarkStart w:id="25" w:name="abstract"/>
    <w:p>
      <w:pPr>
        <w:pStyle w:val="Heading1"/>
      </w:pPr>
      <w:r>
        <w:t xml:space="preserve">Abstract</w:t>
      </w:r>
    </w:p>
    <w:p>
      <w:pPr>
        <w:pStyle w:val="Abstract"/>
      </w:pPr>
      <w:r>
        <w:t xml:space="preserve">This tutorial paper introduces the Graded Response Model (GRM), a tool for testing measurement precision under the Item Response Theory (IRT) paradigm. Addressing common problems of measurement imprecision and lack of construct validity, the tutorial guides researchers through a one-dimensional GRM analysis in the R environment, using psych, mirt, and ggmirt packages. GRM is specifically designed to examine the psychometric properties of psychological scales with polytomous items. The tutorial illustrates the procedure using data from the Open Psychometrics Database on the Right-Wing Authoritarianism (RWA) scale, outlining the theoretical underpinnings of GRM, and steps for data preparation, model fitting, interpretation of results, and dealing with common issues and anomalies that may typically arise in the process.</w:t>
      </w:r>
    </w:p>
    <w:p>
      <w:pPr>
        <w:pStyle w:val="Abstract"/>
      </w:pPr>
      <w:r>
        <w:rPr>
          <w:iCs/>
          <w:i/>
        </w:rPr>
        <w:t xml:space="preserve">Keywords</w:t>
      </w:r>
      <w:r>
        <w:t xml:space="preserve">: graded response model, item response theory, mirt, ggmirt, psych, R</w:t>
      </w:r>
    </w:p>
    <w:bookmarkEnd w:id="25"/>
    <w:p>
      <w:r>
        <w:br w:type="page"/>
      </w:r>
    </w:p>
    <w:bookmarkStart w:id="29" w:name="Xa98d5f2b9aed6c270624315dcab09aad41baca6"/>
    <w:p>
      <w:pPr>
        <w:pStyle w:val="Heading1"/>
      </w:pPr>
      <w:r>
        <w:t xml:space="preserve">Getting Started with the Graded Response Model (GRM): A gentle introduction and tutorial in R</w:t>
      </w:r>
    </w:p>
    <w:bookmarkStart w:id="27" w:name="quarto"/>
    <w:p>
      <w:pPr>
        <w:pStyle w:val="Heading2"/>
      </w:pPr>
      <w:r>
        <w:t xml:space="preserve">Quarto</w:t>
      </w:r>
    </w:p>
    <w:p>
      <w:pPr>
        <w:pStyle w:val="FirstParagraph"/>
      </w:pPr>
      <w:r>
        <w:t xml:space="preserve">Quarto enables you to weave together content and executable code into a finished document. To learn more about Quarto see</w:t>
      </w:r>
      <w:r>
        <w:t xml:space="preserve"> </w:t>
      </w:r>
      <w:hyperlink r:id="rId26">
        <w:r>
          <w:rPr>
            <w:rStyle w:val="Hyperlink"/>
          </w:rPr>
          <w:t xml:space="preserve">https://quarto.org</w:t>
        </w:r>
      </w:hyperlink>
      <w:r>
        <w:t xml:space="preserve">.</w:t>
      </w:r>
    </w:p>
    <w:bookmarkEnd w:id="27"/>
    <w:bookmarkStart w:id="28" w:name="running-code"/>
    <w:p>
      <w:pPr>
        <w:pStyle w:val="Heading2"/>
      </w:pPr>
      <w:r>
        <w:t xml:space="preserve">Running Code</w:t>
      </w:r>
    </w:p>
    <w:p>
      <w:pPr>
        <w:pStyle w:val="FirstParagraph"/>
      </w:pPr>
      <w:r>
        <w:t xml:space="preserve">When you click the</w:t>
      </w:r>
      <w:r>
        <w:t xml:space="preserve"> </w:t>
      </w:r>
      <w:r>
        <w:rPr>
          <w:bCs/>
          <w:b/>
        </w:rPr>
        <w:t xml:space="preserve">Render</w:t>
      </w:r>
      <w:r>
        <w:t xml:space="preserve"> </w:t>
      </w:r>
      <w:r>
        <w:t xml:space="preserve">button a document will be generated that includes both content and the output of embedded code. You can embed code like this:</w:t>
      </w:r>
    </w:p>
    <w:p>
      <w:pPr>
        <w:pStyle w:val="SourceCode"/>
      </w:pPr>
      <w:r>
        <w:rPr>
          <w:rStyle w:val="VerbatimChar"/>
        </w:rPr>
        <w:t xml:space="preserve">[1] 2</w:t>
      </w:r>
    </w:p>
    <w:p>
      <w:pPr>
        <w:pStyle w:val="FirstParagraph"/>
      </w:pPr>
      <w:r>
        <w:t xml:space="preserve">You can add options to executable code like this</w:t>
      </w:r>
    </w:p>
    <w:p>
      <w:pPr>
        <w:pStyle w:val="SourceCode"/>
      </w:pPr>
      <w:r>
        <w:rPr>
          <w:rStyle w:val="VerbatimChar"/>
        </w:rPr>
        <w:t xml:space="preserve">[1] 4</w:t>
      </w:r>
    </w:p>
    <w:p>
      <w:pPr>
        <w:pStyle w:val="FirstParagraph"/>
      </w:pPr>
      <w:r>
        <w:t xml:space="preserve">The</w:t>
      </w:r>
      <w:r>
        <w:t xml:space="preserve"> </w:t>
      </w:r>
      <w:r>
        <w:rPr>
          <w:rStyle w:val="VerbatimChar"/>
        </w:rPr>
        <w:t xml:space="preserve">echo: false</w:t>
      </w:r>
      <w:r>
        <w:t xml:space="preserve"> </w:t>
      </w:r>
      <w:r>
        <w:t xml:space="preserve">option disables the printing of code (only output is displayed).</w:t>
      </w:r>
    </w:p>
    <w:bookmarkEnd w:id="28"/>
    <w:bookmarkEnd w:id="29"/>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GRADED RESPONSE MODEL TUTORIAL</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z" /><Relationship Type="http://schemas.openxmlformats.org/officeDocument/2006/relationships/hyperlink" Id="rId26"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26"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graded response model, item response theory, mirt, ggmirt, psych, R</cp:keywords>
  <dcterms:created xsi:type="dcterms:W3CDTF">2023-11-14T18:28:35Z</dcterms:created>
  <dcterms:modified xsi:type="dcterms:W3CDTF">2023-11-14T18:28:35Z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sl">
    <vt:lpwstr>_extensions/wjschne/apaquarto/apa.csl</vt:lpwstr>
  </property>
  <property fmtid="{D5CDD505-2E9C-101B-9397-08002B2CF9AE}" pid="11" name="editor">
    <vt:lpwstr>visual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Graded Response Model Tutorial</vt:lpwstr>
  </property>
  <property fmtid="{D5CDD505-2E9C-101B-9397-08002B2CF9AE}" pid="20" name="tbl-cap-location">
    <vt:lpwstr>top</vt:lpwstr>
  </property>
  <property fmtid="{D5CDD505-2E9C-101B-9397-08002B2CF9AE}" pid="21" name="toc-title">
    <vt:lpwstr>Table of contents</vt:lpwstr>
  </property>
</Properties>
</file>