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C7B35" w:rsidRDefault="00000000">
      <w:r>
        <w:t xml:space="preserve">Amelia’s coding for Bauer et al. (2025), “Teaching Constructive Replications in the Behavioral and Social Sciences Using Quantitative Data,” </w:t>
      </w:r>
      <w:r>
        <w:rPr>
          <w:i/>
          <w:iCs/>
        </w:rPr>
        <w:t>Teaching of Psychology</w:t>
      </w:r>
      <w:r>
        <w:t>, 52(1), 117–123.</w:t>
      </w:r>
    </w:p>
    <w:p w14:paraId="00000002" w14:textId="77777777" w:rsidR="00EC7B35" w:rsidRDefault="00000000">
      <w:r>
        <w:t>This is my coding for the paper you have trial coded, with justifications why I coded it that way. I chose this paper with a reason that it is genuinely hard to code: it blurs replication and reproducibility, and it mentions tools/computational environments only very briefly. I believe the more straightforward papers will be easier for you to code.</w:t>
      </w:r>
    </w:p>
    <w:p w14:paraId="00000003" w14:textId="77777777" w:rsidR="00EC7B35" w:rsidRDefault="00EC7B35"/>
    <w:tbl>
      <w:tblPr>
        <w:tblStyle w:val="a"/>
        <w:tblW w:w="94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55"/>
        <w:gridCol w:w="3150"/>
        <w:gridCol w:w="5040"/>
      </w:tblGrid>
      <w:tr w:rsidR="00EC7B35" w14:paraId="7F456000" w14:textId="77777777">
        <w:trPr>
          <w:tblHeader/>
        </w:trPr>
        <w:tc>
          <w:tcPr>
            <w:tcW w:w="1255" w:type="dxa"/>
          </w:tcPr>
          <w:p w14:paraId="00000004" w14:textId="77777777" w:rsidR="00EC7B35" w:rsidRDefault="00000000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Item</w:t>
            </w:r>
          </w:p>
        </w:tc>
        <w:tc>
          <w:tcPr>
            <w:tcW w:w="3150" w:type="dxa"/>
          </w:tcPr>
          <w:p w14:paraId="00000005" w14:textId="77777777" w:rsidR="00EC7B35" w:rsidRDefault="00000000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My answer</w:t>
            </w:r>
          </w:p>
        </w:tc>
        <w:tc>
          <w:tcPr>
            <w:tcW w:w="5040" w:type="dxa"/>
          </w:tcPr>
          <w:p w14:paraId="00000006" w14:textId="77777777" w:rsidR="00EC7B35" w:rsidRDefault="00000000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Why?</w:t>
            </w:r>
          </w:p>
        </w:tc>
      </w:tr>
      <w:tr w:rsidR="00EC7B35" w14:paraId="2380DF9B" w14:textId="77777777">
        <w:tc>
          <w:tcPr>
            <w:tcW w:w="9445" w:type="dxa"/>
            <w:gridSpan w:val="3"/>
            <w:shd w:val="clear" w:color="auto" w:fill="FFFF00"/>
          </w:tcPr>
          <w:p w14:paraId="00000007" w14:textId="77777777" w:rsidR="00EC7B35" w:rsidRDefault="00000000">
            <w:pPr>
              <w:spacing w:line="360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BLOCK B: Disciplinary Focus</w:t>
            </w:r>
          </w:p>
        </w:tc>
      </w:tr>
      <w:tr w:rsidR="00EC7B35" w14:paraId="220EFDAD" w14:textId="77777777">
        <w:tc>
          <w:tcPr>
            <w:tcW w:w="1255" w:type="dxa"/>
          </w:tcPr>
          <w:p w14:paraId="0000000A" w14:textId="77777777" w:rsidR="00EC7B35" w:rsidRDefault="00000000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B1</w:t>
            </w:r>
          </w:p>
        </w:tc>
        <w:tc>
          <w:tcPr>
            <w:tcW w:w="3150" w:type="dxa"/>
          </w:tcPr>
          <w:p w14:paraId="0000000B" w14:textId="77777777" w:rsidR="00EC7B35" w:rsidRDefault="00000000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5040" w:type="dxa"/>
          </w:tcPr>
          <w:p w14:paraId="0000000C" w14:textId="77777777" w:rsidR="00EC7B35" w:rsidRDefault="00000000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paper explicitly targets the “behavioral and social sciences” (title, abstract).</w:t>
            </w:r>
          </w:p>
        </w:tc>
      </w:tr>
      <w:tr w:rsidR="00EC7B35" w14:paraId="34268A73" w14:textId="77777777">
        <w:tc>
          <w:tcPr>
            <w:tcW w:w="1255" w:type="dxa"/>
          </w:tcPr>
          <w:p w14:paraId="0000000D" w14:textId="77777777" w:rsidR="00EC7B35" w:rsidRDefault="00000000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B1a</w:t>
            </w:r>
          </w:p>
        </w:tc>
        <w:tc>
          <w:tcPr>
            <w:tcW w:w="3150" w:type="dxa"/>
          </w:tcPr>
          <w:p w14:paraId="0000000E" w14:textId="77777777" w:rsidR="00EC7B35" w:rsidRDefault="00000000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General Social Science (primarily)</w:t>
            </w:r>
          </w:p>
          <w:p w14:paraId="0000000F" w14:textId="77777777" w:rsidR="00EC7B35" w:rsidRDefault="00000000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..and Behavioral Science (Others) </w:t>
            </w:r>
          </w:p>
        </w:tc>
        <w:tc>
          <w:tcPr>
            <w:tcW w:w="5040" w:type="dxa"/>
          </w:tcPr>
          <w:p w14:paraId="00000010" w14:textId="77777777" w:rsidR="00EC7B35" w:rsidRDefault="00000000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paper broadly covers sociology, political science, economics and psychology, with no single named focus. One can also interpret that “Behavioral Science” is a separate discipline, but generally, only choosing “General Social Science” already suffices.</w:t>
            </w:r>
          </w:p>
        </w:tc>
      </w:tr>
      <w:tr w:rsidR="00EC7B35" w14:paraId="459A24E2" w14:textId="77777777">
        <w:tc>
          <w:tcPr>
            <w:tcW w:w="9445" w:type="dxa"/>
            <w:gridSpan w:val="3"/>
            <w:shd w:val="clear" w:color="auto" w:fill="FFFF00"/>
          </w:tcPr>
          <w:p w14:paraId="00000011" w14:textId="77777777" w:rsidR="00EC7B35" w:rsidRDefault="00000000">
            <w:pPr>
              <w:spacing w:line="360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BLOCK C: Type of Contributions</w:t>
            </w:r>
          </w:p>
        </w:tc>
      </w:tr>
      <w:tr w:rsidR="00EC7B35" w14:paraId="4585DA67" w14:textId="77777777">
        <w:tc>
          <w:tcPr>
            <w:tcW w:w="1255" w:type="dxa"/>
          </w:tcPr>
          <w:p w14:paraId="00000014" w14:textId="77777777" w:rsidR="00EC7B35" w:rsidRDefault="00000000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C1</w:t>
            </w:r>
          </w:p>
        </w:tc>
        <w:tc>
          <w:tcPr>
            <w:tcW w:w="3150" w:type="dxa"/>
          </w:tcPr>
          <w:p w14:paraId="00000015" w14:textId="77777777" w:rsidR="00EC7B35" w:rsidRDefault="00000000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Educational/training resource</w:t>
            </w:r>
          </w:p>
        </w:tc>
        <w:tc>
          <w:tcPr>
            <w:tcW w:w="5040" w:type="dxa"/>
          </w:tcPr>
          <w:p w14:paraId="00000016" w14:textId="77777777" w:rsidR="00EC7B35" w:rsidRDefault="00000000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Stated aim: “offering guidance to instructors in designing and teaching replications … including a supplementary teaching companion” (Abstract/Conclusion); published in “The Scholarly Teacher Corner” with a teaching companion + sample syllabus.</w:t>
            </w:r>
          </w:p>
        </w:tc>
      </w:tr>
      <w:tr w:rsidR="00EC7B35" w14:paraId="3B187543" w14:textId="77777777">
        <w:tc>
          <w:tcPr>
            <w:tcW w:w="1255" w:type="dxa"/>
          </w:tcPr>
          <w:p w14:paraId="00000017" w14:textId="77777777" w:rsidR="00EC7B35" w:rsidRDefault="00000000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C2</w:t>
            </w:r>
          </w:p>
        </w:tc>
        <w:tc>
          <w:tcPr>
            <w:tcW w:w="3150" w:type="dxa"/>
          </w:tcPr>
          <w:p w14:paraId="00000018" w14:textId="77777777" w:rsidR="00EC7B35" w:rsidRDefault="00000000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None</w:t>
            </w:r>
          </w:p>
        </w:tc>
        <w:tc>
          <w:tcPr>
            <w:tcW w:w="5040" w:type="dxa"/>
          </w:tcPr>
          <w:p w14:paraId="00000019" w14:textId="77777777" w:rsidR="00EC7B35" w:rsidRDefault="00000000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 gives pedagogical advice (teaching companion), not reproducibility norms/standards/policy. “Guidelines/policy” is reserved for a more “enforced” reproducibility policy (e.g., a journal/funder/institution/community/professional association rule), so there is no clean secondary type.</w:t>
            </w:r>
          </w:p>
        </w:tc>
      </w:tr>
      <w:tr w:rsidR="00EC7B35" w14:paraId="34576EFF" w14:textId="77777777">
        <w:tc>
          <w:tcPr>
            <w:tcW w:w="9445" w:type="dxa"/>
            <w:gridSpan w:val="3"/>
            <w:shd w:val="clear" w:color="auto" w:fill="FFFF00"/>
          </w:tcPr>
          <w:p w14:paraId="0000001A" w14:textId="77777777" w:rsidR="00EC7B35" w:rsidRDefault="00000000">
            <w:pPr>
              <w:spacing w:line="360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BLOCK D: Definition of Reproducibility </w:t>
            </w:r>
          </w:p>
        </w:tc>
      </w:tr>
      <w:tr w:rsidR="00EC7B35" w14:paraId="458023AB" w14:textId="77777777">
        <w:tc>
          <w:tcPr>
            <w:tcW w:w="1255" w:type="dxa"/>
          </w:tcPr>
          <w:p w14:paraId="0000001D" w14:textId="77777777" w:rsidR="00EC7B35" w:rsidRDefault="00000000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D1</w:t>
            </w:r>
          </w:p>
        </w:tc>
        <w:tc>
          <w:tcPr>
            <w:tcW w:w="3150" w:type="dxa"/>
          </w:tcPr>
          <w:p w14:paraId="0000001E" w14:textId="77777777" w:rsidR="00EC7B35" w:rsidRDefault="00000000">
            <w:pPr>
              <w:spacing w:line="360" w:lineRule="auto"/>
              <w:rPr>
                <w:sz w:val="20"/>
                <w:szCs w:val="20"/>
              </w:rPr>
            </w:pPr>
            <w:sdt>
              <w:sdtPr>
                <w:tag w:val="goog_rdk_0"/>
                <w:id w:val="-1607891724"/>
              </w:sdtPr>
              <w:sdtContent>
                <w:commentRangeStart w:id="0"/>
              </w:sdtContent>
            </w:sdt>
            <w:r>
              <w:rPr>
                <w:sz w:val="20"/>
                <w:szCs w:val="20"/>
              </w:rPr>
              <w:t>Yes</w:t>
            </w:r>
            <w:commentRangeEnd w:id="0"/>
            <w:r>
              <w:rPr>
                <w:rStyle w:val="CommentReference"/>
                <w:sz w:val="20"/>
                <w:szCs w:val="20"/>
              </w:rPr>
              <w:commentReference w:id="0"/>
            </w:r>
          </w:p>
        </w:tc>
        <w:tc>
          <w:tcPr>
            <w:tcW w:w="5040" w:type="dxa"/>
          </w:tcPr>
          <w:p w14:paraId="0000001F" w14:textId="77777777" w:rsidR="00EC7B35" w:rsidRDefault="00000000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 paper defines the concept of computational reproduction — “computationally reproduce previous findings using the same numerical data” (p. 117) — even though it labels it “analytical replication.” </w:t>
            </w:r>
          </w:p>
        </w:tc>
      </w:tr>
      <w:tr w:rsidR="00EC7B35" w14:paraId="7671A097" w14:textId="77777777">
        <w:tc>
          <w:tcPr>
            <w:tcW w:w="1255" w:type="dxa"/>
          </w:tcPr>
          <w:p w14:paraId="00000020" w14:textId="77777777" w:rsidR="00EC7B35" w:rsidRDefault="00000000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D1a</w:t>
            </w:r>
          </w:p>
        </w:tc>
        <w:tc>
          <w:tcPr>
            <w:tcW w:w="3150" w:type="dxa"/>
          </w:tcPr>
          <w:p w14:paraId="00000021" w14:textId="77777777" w:rsidR="00EC7B35" w:rsidRDefault="00000000">
            <w:pPr>
              <w:spacing w:line="360" w:lineRule="auto"/>
              <w:rPr>
                <w:sz w:val="20"/>
                <w:szCs w:val="20"/>
              </w:rPr>
            </w:pPr>
            <w:sdt>
              <w:sdtPr>
                <w:tag w:val="goog_rdk_1"/>
                <w:id w:val="2072588381"/>
              </w:sdtPr>
              <w:sdtContent>
                <w:commentRangeStart w:id="1"/>
              </w:sdtContent>
            </w:sdt>
            <w:r>
              <w:rPr>
                <w:sz w:val="20"/>
                <w:szCs w:val="20"/>
              </w:rPr>
              <w:t xml:space="preserve">Analytical Replication: </w:t>
            </w:r>
            <w:commentRangeEnd w:id="1"/>
            <w:r>
              <w:rPr>
                <w:rStyle w:val="CommentReference"/>
                <w:sz w:val="20"/>
                <w:szCs w:val="20"/>
              </w:rPr>
              <w:commentReference w:id="1"/>
            </w:r>
            <w:r>
              <w:rPr>
                <w:sz w:val="20"/>
                <w:szCs w:val="20"/>
              </w:rPr>
              <w:t xml:space="preserve">“Attempting to computationally reproduce previous findings using the same numerical data” (p. 117). </w:t>
            </w:r>
          </w:p>
        </w:tc>
        <w:tc>
          <w:tcPr>
            <w:tcW w:w="5040" w:type="dxa"/>
          </w:tcPr>
          <w:p w14:paraId="00000022" w14:textId="77777777" w:rsidR="00EC7B35" w:rsidRDefault="00000000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Authors use “Analytical Replication,” but this definition falls under “same data, same analysis,” principle. So this counts as “computational reproducibility.”</w:t>
            </w:r>
          </w:p>
        </w:tc>
      </w:tr>
      <w:tr w:rsidR="00EC7B35" w14:paraId="002AA557" w14:textId="77777777">
        <w:tc>
          <w:tcPr>
            <w:tcW w:w="1255" w:type="dxa"/>
          </w:tcPr>
          <w:p w14:paraId="00000023" w14:textId="77777777" w:rsidR="00EC7B35" w:rsidRDefault="00000000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D2</w:t>
            </w:r>
          </w:p>
        </w:tc>
        <w:tc>
          <w:tcPr>
            <w:tcW w:w="3150" w:type="dxa"/>
          </w:tcPr>
          <w:p w14:paraId="00000024" w14:textId="77777777" w:rsidR="00EC7B35" w:rsidRDefault="00000000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5040" w:type="dxa"/>
          </w:tcPr>
          <w:p w14:paraId="00000025" w14:textId="77777777" w:rsidR="00EC7B35" w:rsidRDefault="00000000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 briefly names data types and software but never argues that reproducibility looks different across them. So, briefly naming a context does not equal to discuss contextual variation.</w:t>
            </w:r>
          </w:p>
        </w:tc>
      </w:tr>
      <w:tr w:rsidR="00EC7B35" w14:paraId="7F159E0B" w14:textId="77777777">
        <w:tc>
          <w:tcPr>
            <w:tcW w:w="1255" w:type="dxa"/>
          </w:tcPr>
          <w:p w14:paraId="00000026" w14:textId="77777777" w:rsidR="00EC7B35" w:rsidRDefault="00000000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D2a</w:t>
            </w:r>
          </w:p>
        </w:tc>
        <w:tc>
          <w:tcPr>
            <w:tcW w:w="3150" w:type="dxa"/>
          </w:tcPr>
          <w:p w14:paraId="00000027" w14:textId="77777777" w:rsidR="00EC7B35" w:rsidRDefault="00000000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5040" w:type="dxa"/>
          </w:tcPr>
          <w:p w14:paraId="00000028" w14:textId="77777777" w:rsidR="00EC7B35" w:rsidRDefault="00EC7B35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EC7B35" w14:paraId="7B5D08FA" w14:textId="77777777">
        <w:tc>
          <w:tcPr>
            <w:tcW w:w="9445" w:type="dxa"/>
            <w:gridSpan w:val="3"/>
            <w:shd w:val="clear" w:color="auto" w:fill="FFFF00"/>
          </w:tcPr>
          <w:p w14:paraId="00000029" w14:textId="77777777" w:rsidR="00EC7B35" w:rsidRDefault="00000000">
            <w:pPr>
              <w:spacing w:line="360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BLOCK E: Workflow, Tools, and Guidelines</w:t>
            </w:r>
          </w:p>
        </w:tc>
      </w:tr>
      <w:tr w:rsidR="00EC7B35" w14:paraId="3B2E4626" w14:textId="77777777">
        <w:tc>
          <w:tcPr>
            <w:tcW w:w="1255" w:type="dxa"/>
          </w:tcPr>
          <w:p w14:paraId="0000002C" w14:textId="77777777" w:rsidR="00EC7B35" w:rsidRDefault="00000000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E1</w:t>
            </w:r>
          </w:p>
        </w:tc>
        <w:tc>
          <w:tcPr>
            <w:tcW w:w="3150" w:type="dxa"/>
          </w:tcPr>
          <w:p w14:paraId="0000002D" w14:textId="77777777" w:rsidR="00EC7B35" w:rsidRDefault="00000000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5040" w:type="dxa"/>
          </w:tcPr>
          <w:p w14:paraId="0000002E" w14:textId="77777777" w:rsidR="00EC7B35" w:rsidRDefault="00000000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whole “Teaching Reproducible Workflows” section plus Figure 1 (p. 120) describe and recommend a concrete workflow.</w:t>
            </w:r>
          </w:p>
        </w:tc>
      </w:tr>
      <w:tr w:rsidR="00EC7B35" w14:paraId="7945E5DC" w14:textId="77777777">
        <w:tc>
          <w:tcPr>
            <w:tcW w:w="1255" w:type="dxa"/>
          </w:tcPr>
          <w:p w14:paraId="0000002F" w14:textId="77777777" w:rsidR="00EC7B35" w:rsidRDefault="00000000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E1a</w:t>
            </w:r>
          </w:p>
        </w:tc>
        <w:tc>
          <w:tcPr>
            <w:tcW w:w="3150" w:type="dxa"/>
          </w:tcPr>
          <w:p w14:paraId="00000030" w14:textId="77777777" w:rsidR="00EC7B35" w:rsidRDefault="00000000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Step-by-step (explicit)</w:t>
            </w:r>
          </w:p>
        </w:tc>
        <w:tc>
          <w:tcPr>
            <w:tcW w:w="5040" w:type="dxa"/>
          </w:tcPr>
          <w:p w14:paraId="00000031" w14:textId="77777777" w:rsidR="00EC7B35" w:rsidRDefault="00000000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Figure 1 (p. 120) lays out an ordered sequence: choose study → get data &amp; code → contact authors → run code → reorganize/debug → extend → review → write report → make package. </w:t>
            </w:r>
            <w:r>
              <w:rPr>
                <w:b/>
                <w:bCs/>
                <w:i/>
                <w:iCs/>
                <w:sz w:val="20"/>
                <w:szCs w:val="20"/>
              </w:rPr>
              <w:t>A sequenced figure (or a table with a list) counts as step-by-step</w:t>
            </w:r>
            <w:r>
              <w:rPr>
                <w:sz w:val="20"/>
                <w:szCs w:val="20"/>
              </w:rPr>
              <w:t xml:space="preserve"> even though the text is mostly narrative.</w:t>
            </w:r>
          </w:p>
        </w:tc>
      </w:tr>
      <w:tr w:rsidR="00EC7B35" w14:paraId="099022C2" w14:textId="77777777">
        <w:tc>
          <w:tcPr>
            <w:tcW w:w="1255" w:type="dxa"/>
          </w:tcPr>
          <w:p w14:paraId="00000032" w14:textId="77777777" w:rsidR="00EC7B35" w:rsidRDefault="00000000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E1b</w:t>
            </w:r>
          </w:p>
        </w:tc>
        <w:tc>
          <w:tcPr>
            <w:tcW w:w="3150" w:type="dxa"/>
          </w:tcPr>
          <w:p w14:paraId="00000033" w14:textId="77777777" w:rsidR="00EC7B35" w:rsidRDefault="00000000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described</w:t>
            </w:r>
          </w:p>
        </w:tc>
        <w:tc>
          <w:tcPr>
            <w:tcW w:w="5040" w:type="dxa"/>
          </w:tcPr>
          <w:p w14:paraId="00000034" w14:textId="77777777" w:rsidR="00EC7B35" w:rsidRDefault="00000000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article is a teaching paper, not dedicated to any computational environment. It only briefly mentions literate coding (p. 120), version control / OSF–GitHub (p. 121), package management (p. 120) and virtual computing environments (pp. 119, 121), all as casual mentions. Casual mentions (1-2 sentences) do not count → Not described.</w:t>
            </w:r>
          </w:p>
        </w:tc>
      </w:tr>
      <w:tr w:rsidR="00EC7B35" w14:paraId="79922D70" w14:textId="77777777">
        <w:tc>
          <w:tcPr>
            <w:tcW w:w="1255" w:type="dxa"/>
          </w:tcPr>
          <w:p w14:paraId="00000035" w14:textId="77777777" w:rsidR="00EC7B35" w:rsidRDefault="00000000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E1c</w:t>
            </w:r>
          </w:p>
        </w:tc>
        <w:tc>
          <w:tcPr>
            <w:tcW w:w="3150" w:type="dxa"/>
          </w:tcPr>
          <w:p w14:paraId="00000036" w14:textId="77777777" w:rsidR="00EC7B35" w:rsidRDefault="00000000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</w:p>
        </w:tc>
        <w:tc>
          <w:tcPr>
            <w:tcW w:w="5040" w:type="dxa"/>
          </w:tcPr>
          <w:p w14:paraId="00000037" w14:textId="77777777" w:rsidR="00EC7B35" w:rsidRDefault="00000000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Names R/RStudio as the software focus (“a movement … to shift to using R,” p. 118; “tools such as R”).</w:t>
            </w:r>
          </w:p>
        </w:tc>
      </w:tr>
      <w:tr w:rsidR="00EC7B35" w14:paraId="77E60E08" w14:textId="77777777">
        <w:tc>
          <w:tcPr>
            <w:tcW w:w="1255" w:type="dxa"/>
          </w:tcPr>
          <w:p w14:paraId="00000038" w14:textId="77777777" w:rsidR="00EC7B35" w:rsidRDefault="00000000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E1d</w:t>
            </w:r>
          </w:p>
        </w:tc>
        <w:tc>
          <w:tcPr>
            <w:tcW w:w="3150" w:type="dxa"/>
          </w:tcPr>
          <w:p w14:paraId="00000039" w14:textId="77777777" w:rsidR="00EC7B35" w:rsidRDefault="00000000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described</w:t>
            </w:r>
          </w:p>
        </w:tc>
        <w:tc>
          <w:tcPr>
            <w:tcW w:w="5040" w:type="dxa"/>
          </w:tcPr>
          <w:p w14:paraId="0000003A" w14:textId="77777777" w:rsidR="00EC7B35" w:rsidRDefault="00000000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Data-type-agnostic: concerns “any research that … produced numerical results” (p. 118). “Experimental or observational data” (p. 117) is general framing, not a focus on one type.</w:t>
            </w:r>
          </w:p>
        </w:tc>
      </w:tr>
      <w:tr w:rsidR="00EC7B35" w14:paraId="4FB53BEC" w14:textId="77777777">
        <w:tc>
          <w:tcPr>
            <w:tcW w:w="1255" w:type="dxa"/>
          </w:tcPr>
          <w:p w14:paraId="0000003B" w14:textId="77777777" w:rsidR="00EC7B35" w:rsidRDefault="00000000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E1e</w:t>
            </w:r>
          </w:p>
        </w:tc>
        <w:tc>
          <w:tcPr>
            <w:tcW w:w="3150" w:type="dxa"/>
          </w:tcPr>
          <w:p w14:paraId="0000003C" w14:textId="77777777" w:rsidR="00EC7B35" w:rsidRDefault="00000000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Manual only</w:t>
            </w:r>
          </w:p>
        </w:tc>
        <w:tc>
          <w:tcPr>
            <w:tcW w:w="5040" w:type="dxa"/>
          </w:tcPr>
          <w:p w14:paraId="0000003D" w14:textId="77777777" w:rsidR="00EC7B35" w:rsidRDefault="00000000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 taught workflow is manual throughout. “Virtual computing environments for ‘push-button’ reproducibility” (pp. 119, 121) is a one-line aside about </w:t>
            </w:r>
            <w:r>
              <w:rPr>
                <w:sz w:val="20"/>
                <w:szCs w:val="20"/>
              </w:rPr>
              <w:lastRenderedPageBreak/>
              <w:t>what advanced students could optionally do, not the recommended workflow.</w:t>
            </w:r>
          </w:p>
        </w:tc>
      </w:tr>
      <w:tr w:rsidR="00EC7B35" w14:paraId="76C89FAD" w14:textId="77777777">
        <w:tc>
          <w:tcPr>
            <w:tcW w:w="1255" w:type="dxa"/>
          </w:tcPr>
          <w:p w14:paraId="0000003E" w14:textId="77777777" w:rsidR="00EC7B35" w:rsidRDefault="00000000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E1f</w:t>
            </w:r>
          </w:p>
        </w:tc>
        <w:tc>
          <w:tcPr>
            <w:tcW w:w="3150" w:type="dxa"/>
          </w:tcPr>
          <w:p w14:paraId="0000003F" w14:textId="77777777" w:rsidR="00EC7B35" w:rsidRDefault="00000000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5040" w:type="dxa"/>
          </w:tcPr>
          <w:p w14:paraId="00000040" w14:textId="15AB11E1" w:rsidR="00EC7B35" w:rsidRDefault="00000000">
            <w:pPr>
              <w:spacing w:line="360" w:lineRule="auto"/>
              <w:rPr>
                <w:color w:val="EE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EE0000"/>
                <w:sz w:val="20"/>
                <w:szCs w:val="20"/>
              </w:rPr>
              <w:t>Note:</w:t>
            </w:r>
            <w:r>
              <w:rPr>
                <w:color w:val="EE0000"/>
                <w:sz w:val="20"/>
                <w:szCs w:val="20"/>
              </w:rPr>
              <w:t xml:space="preserve"> This item didn’t appear on the google forms by mistake.</w:t>
            </w:r>
            <w:r w:rsidR="008A03AE">
              <w:rPr>
                <w:color w:val="EE0000"/>
                <w:sz w:val="20"/>
                <w:szCs w:val="20"/>
              </w:rPr>
              <w:t xml:space="preserve"> It has been corrected now.</w:t>
            </w:r>
          </w:p>
          <w:p w14:paraId="00000041" w14:textId="77777777" w:rsidR="00EC7B35" w:rsidRDefault="00000000">
            <w:pPr>
              <w:spacing w:line="360" w:lineRule="auto"/>
              <w:rPr>
                <w:sz w:val="20"/>
                <w:szCs w:val="20"/>
              </w:rPr>
            </w:pPr>
            <w:r>
              <w:rPr>
                <w:color w:val="EE0000"/>
                <w:sz w:val="20"/>
                <w:szCs w:val="20"/>
              </w:rPr>
              <w:t>As E1e = Manual only, no LLMs are mentioned</w:t>
            </w:r>
          </w:p>
        </w:tc>
      </w:tr>
      <w:tr w:rsidR="00EC7B35" w14:paraId="09A2B2FA" w14:textId="77777777">
        <w:tc>
          <w:tcPr>
            <w:tcW w:w="9445" w:type="dxa"/>
            <w:gridSpan w:val="3"/>
            <w:shd w:val="clear" w:color="auto" w:fill="FFFF00"/>
          </w:tcPr>
          <w:p w14:paraId="00000042" w14:textId="77777777" w:rsidR="00EC7B35" w:rsidRDefault="00000000">
            <w:pPr>
              <w:spacing w:line="360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BLOCK F: Reproducibility Audit in Practice</w:t>
            </w:r>
          </w:p>
        </w:tc>
      </w:tr>
      <w:tr w:rsidR="00EC7B35" w14:paraId="41B8CF80" w14:textId="77777777">
        <w:tc>
          <w:tcPr>
            <w:tcW w:w="1255" w:type="dxa"/>
          </w:tcPr>
          <w:p w14:paraId="00000045" w14:textId="77777777" w:rsidR="00EC7B35" w:rsidRDefault="00000000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F1</w:t>
            </w:r>
          </w:p>
        </w:tc>
        <w:tc>
          <w:tcPr>
            <w:tcW w:w="3150" w:type="dxa"/>
          </w:tcPr>
          <w:p w14:paraId="00000046" w14:textId="77777777" w:rsidR="00EC7B35" w:rsidRDefault="00000000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5040" w:type="dxa"/>
          </w:tcPr>
          <w:p w14:paraId="00000047" w14:textId="77777777" w:rsidR="00EC7B35" w:rsidRDefault="00000000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Mentions existing open-data/materials badges as a way to find studies to replicate (p. 118), but proposes no scoring or badging system for evaluating reproducibility.</w:t>
            </w:r>
          </w:p>
        </w:tc>
      </w:tr>
      <w:tr w:rsidR="00EC7B35" w14:paraId="69FD418E" w14:textId="77777777">
        <w:tc>
          <w:tcPr>
            <w:tcW w:w="1255" w:type="dxa"/>
          </w:tcPr>
          <w:p w14:paraId="00000048" w14:textId="77777777" w:rsidR="00EC7B35" w:rsidRDefault="00000000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F2</w:t>
            </w:r>
          </w:p>
        </w:tc>
        <w:tc>
          <w:tcPr>
            <w:tcW w:w="3150" w:type="dxa"/>
          </w:tcPr>
          <w:p w14:paraId="00000049" w14:textId="77777777" w:rsidR="00EC7B35" w:rsidRDefault="00000000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Third-party/independent reproducers</w:t>
            </w:r>
          </w:p>
        </w:tc>
        <w:tc>
          <w:tcPr>
            <w:tcW w:w="5040" w:type="dxa"/>
          </w:tcPr>
          <w:p w14:paraId="0000004A" w14:textId="77777777" w:rsidR="00EC7B35" w:rsidRDefault="00000000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students reproduce other researchers’ published studies = independent third parties. Classroom peer feedback (p. 119) is not the same as a peer-review process in a journal, so “Peer reviewers” is not coded; original authors do not self-check here.</w:t>
            </w:r>
          </w:p>
        </w:tc>
      </w:tr>
      <w:tr w:rsidR="00EC7B35" w14:paraId="33C8DF8B" w14:textId="77777777">
        <w:tc>
          <w:tcPr>
            <w:tcW w:w="1255" w:type="dxa"/>
          </w:tcPr>
          <w:p w14:paraId="0000004B" w14:textId="77777777" w:rsidR="00EC7B35" w:rsidRDefault="00000000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F3</w:t>
            </w:r>
          </w:p>
        </w:tc>
        <w:tc>
          <w:tcPr>
            <w:tcW w:w="3150" w:type="dxa"/>
          </w:tcPr>
          <w:p w14:paraId="0000004C" w14:textId="77777777" w:rsidR="00EC7B35" w:rsidRDefault="00000000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After publication</w:t>
            </w:r>
          </w:p>
        </w:tc>
        <w:tc>
          <w:tcPr>
            <w:tcW w:w="5040" w:type="dxa"/>
          </w:tcPr>
          <w:p w14:paraId="0000004D" w14:textId="77777777" w:rsidR="00EC7B35" w:rsidRDefault="00000000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Students reproduce already-published studies, so verification is inherently post-publication. No explicit recommendation that an author should pre-submission self-check.</w:t>
            </w:r>
          </w:p>
        </w:tc>
      </w:tr>
    </w:tbl>
    <w:p w14:paraId="0000004E" w14:textId="77777777" w:rsidR="00EC7B35" w:rsidRDefault="00EC7B35">
      <w:pPr>
        <w:rPr>
          <w:sz w:val="20"/>
          <w:szCs w:val="20"/>
        </w:rPr>
      </w:pPr>
    </w:p>
    <w:sectPr w:rsidR="00EC7B35">
      <w:pgSz w:w="11906" w:h="16838"/>
      <w:pgMar w:top="1417" w:right="1417" w:bottom="1134" w:left="1417" w:header="708" w:footer="708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melia Zein" w:date="2026-06-08T07:00:00Z" w:initials="">
    <w:p w14:paraId="430C645A" w14:textId="77777777" w:rsidR="00344CED" w:rsidRDefault="00344CED" w:rsidP="00344CED">
      <w:pPr>
        <w:pStyle w:val="CommentText"/>
      </w:pPr>
      <w:r>
        <w:rPr>
          <w:rStyle w:val="CommentReference"/>
        </w:rPr>
        <w:annotationRef/>
      </w:r>
      <w:r>
        <w:rPr>
          <w:color w:val="000000"/>
        </w:rPr>
        <w:t>I coded „Yes“ as I introduced a new decision rule in the codebook: „meaning over label“</w:t>
      </w:r>
    </w:p>
    <w:p w14:paraId="4D7298B3" w14:textId="77777777" w:rsidR="00344CED" w:rsidRDefault="00344CED" w:rsidP="00344CED">
      <w:pPr>
        <w:pStyle w:val="CommentText"/>
      </w:pPr>
    </w:p>
    <w:p w14:paraId="00000052" w14:textId="77777777" w:rsidR="00344CED" w:rsidRDefault="00344CED" w:rsidP="00344CED">
      <w:pPr>
        <w:pStyle w:val="CommentText"/>
      </w:pPr>
      <w:r>
        <w:rPr>
          <w:color w:val="000000"/>
        </w:rPr>
        <w:t xml:space="preserve">Any definition that substantially carries similar meaning to „Reproducibility“ („same data, same analysis/methods/codes“) should be coded and thus entered in D1a </w:t>
      </w:r>
      <w:r>
        <w:rPr>
          <w:b/>
          <w:bCs/>
          <w:i/>
          <w:iCs/>
          <w:color w:val="000000"/>
        </w:rPr>
        <w:t>even though</w:t>
      </w:r>
      <w:r>
        <w:rPr>
          <w:color w:val="000000"/>
        </w:rPr>
        <w:t xml:space="preserve"> it is labelled differently.</w:t>
      </w:r>
    </w:p>
  </w:comment>
  <w:comment w:id="1" w:author="Amelia Zein" w:date="2026-06-08T07:01:00Z" w:initials="">
    <w:p w14:paraId="0000004F" w14:textId="30842577" w:rsidR="00EC7B35" w:rsidRDefault="00344CE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CommentReference"/>
        </w:rPr>
        <w:annotationRef/>
      </w:r>
      <w:r>
        <w:rPr>
          <w:rFonts w:ascii="Arial" w:eastAsia="Arial" w:hAnsi="Arial" w:cs="Arial"/>
          <w:color w:val="000000"/>
          <w:sz w:val="22"/>
          <w:szCs w:val="22"/>
        </w:rPr>
        <w:t>As authors use different term, I wrote the term they used before copying-pasting the literal definition.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0000052" w15:done="0"/>
  <w15:commentEx w15:paraId="0000004F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0000052" w16cid:durableId="00000052"/>
  <w16cid:commentId w16cid:paraId="0000004F" w16cid:durableId="0000004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43245E9F-4026-4BC1-B14C-FFB3D14A1AC6}"/>
    <w:embedBold r:id="rId2" w:fontKey="{689000D3-5F4C-4ACA-B2F5-CC1C23D25D68}"/>
    <w:embedItalic r:id="rId3" w:fontKey="{C8C1177F-5C6C-43BB-924C-D83CA09C7615}"/>
    <w:embedBoldItalic r:id="rId4" w:fontKey="{161A6835-682A-4D9E-B0EF-F55EA441EDA7}"/>
  </w:font>
  <w:font w:name="Play">
    <w:charset w:val="00"/>
    <w:family w:val="auto"/>
    <w:pitch w:val="default"/>
    <w:embedRegular r:id="rId5" w:fontKey="{A90EB519-3C4E-49AF-8E34-08FD0E053A1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37E80B6E-53A1-46E5-95A0-5414D9AEBFA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7C822CB-3D2D-45CD-8C41-6DB36C89224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7B35"/>
    <w:rsid w:val="001025C0"/>
    <w:rsid w:val="00344CED"/>
    <w:rsid w:val="008A03AE"/>
    <w:rsid w:val="008E5E40"/>
    <w:rsid w:val="00EC7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6347F"/>
  <w15:docId w15:val="{FE5FA201-B906-40E6-A521-8DD62FECF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de-DE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w0D3SrYbq213YzfkX1i9LXrP+Q==">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628</Words>
  <Characters>3963</Characters>
  <Application>Microsoft Office Word</Application>
  <DocSecurity>0</DocSecurity>
  <Lines>33</Lines>
  <Paragraphs>9</Paragraphs>
  <ScaleCrop>false</ScaleCrop>
  <Company/>
  <LinksUpToDate>false</LinksUpToDate>
  <CharactersWithSpaces>4582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Dr. Rizqy Amelia Zein</cp:lastModifiedBy>
  <cp:revision>4</cp:revision>
  <dcterms:created xsi:type="dcterms:W3CDTF">2026-06-08T11:03:00Z</dcterms:created>
  <dcterms:modified xsi:type="dcterms:W3CDTF">2026-06-08T12:26:00Z</dcterms:modified>
</cp:coreProperties>
</file>