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w:cs="Arial" w:eastAsia="Arial" w:hAnsi="Arial"/>
          <w:b/>
          <w:bCs/>
          <w:sz w:val="32"/>
          <w:szCs w:val="32"/>
        </w:rPr>
        <w:t xml:space="preserve">Klarifikasi: Estimasi Reliabilitas dalam Experience Sampling Method (ESM)</w:t>
      </w:r>
    </w:p>
    <w:p>
      <w:pPr>
        <w:spacing w:after="320"/>
      </w:pPr>
      <w:r>
        <w:rPr>
          <w:i/>
          <w:iCs/>
          <w:color w:val="555555"/>
          <w:sz w:val="20"/>
          <w:szCs w:val="20"/>
        </w:rPr>
        <w:t xml:space="preserve">Klarifikasi pasca-sesi workshop | Pengukuran dalam ESM</w:t>
      </w:r>
    </w:p>
    <w:p>
      <w:pPr>
        <w:pStyle w:val="Heading1"/>
      </w:pPr>
      <w:r>
        <w:t xml:space="preserve">1. Pendahuluan</w:t>
      </w:r>
    </w:p>
    <w:p>
      <w:pPr>
        <w:spacing w:after="160"/>
        <w:jc w:val="both"/>
      </w:pPr>
      <w:r>
        <w:rPr>
          <w:sz w:val="24"/>
          <w:szCs w:val="24"/>
        </w:rPr>
        <w:t xml:space="preserve">Dokumen ini merupakan klarifikasi atas penjelasan yang disampaikan pada sesi workshop sebelumnya. Terdapat ketidaktepatan pada penjelasan lisan yang perlu dikoreksi, khususnya menyangkut pendekatan yang sesuai untuk mengestimasi reliabilitas alat ukur dalam desain ESM.</w:t>
      </w:r>
    </w:p>
    <w:p>
      <w:pPr>
        <w:pStyle w:val="Heading1"/>
      </w:pPr>
      <w:r>
        <w:t xml:space="preserve">2. Mengapa Internal Consistency Standar Tidak Sesuai untuk ESM</w:t>
      </w:r>
    </w:p>
    <w:p>
      <w:pPr>
        <w:spacing w:after="120"/>
        <w:jc w:val="both"/>
      </w:pPr>
      <w:r>
        <w:rPr>
          <w:sz w:val="24"/>
          <w:szCs w:val="24"/>
        </w:rPr>
        <w:t xml:space="preserve">Koefisien reliabilitas berbasis internal consistency seperti alfa Cronbach (α) dan omega McDonald (ω) lazim digunakan dalam kerangka Classical Test Theory (CTT) untuk data yang dikumpulkan pada satu titik waktu. Asumsi di balik pendekatan ini — bahwa skor antar-observasi bersifat independen dan kondisi pengukuran statis — tidak terpenuhi dalam data ESM, di mana observasi bersarang di dalam individu (nested) dan diulang pada titik waktu yang berbeda.</w:t>
      </w:r>
    </w:p>
    <w:p>
      <w:pPr>
        <w:spacing w:after="160"/>
        <w:jc w:val="both"/>
      </w:pPr>
      <w:r>
        <w:rPr>
          <w:sz w:val="24"/>
          <w:szCs w:val="24"/>
        </w:rPr>
        <w:t xml:space="preserve">Penting untuk dicatat: yang tidak sesuai adalah internal consistency single-level (standar CTT). Estimasi omega yang spesifik per level — seperti yang dihasilkan melalui Multilevel CFA — tetap valid dan justru direkomendasikan.</w:t>
      </w:r>
    </w:p>
    <w:p>
      <w:pPr>
        <w:pStyle w:val="Heading1"/>
      </w:pPr>
      <w:r>
        <w:t xml:space="preserve">3. Kerangka yang Tepat: Generalizability Theory</w:t>
      </w:r>
    </w:p>
    <w:p>
      <w:pPr>
        <w:spacing w:after="160"/>
        <w:jc w:val="both"/>
      </w:pPr>
      <w:r>
        <w:rPr>
          <w:sz w:val="24"/>
          <w:szCs w:val="24"/>
        </w:rPr>
        <w:t xml:space="preserve">Pendekatan yang sesuai untuk konteks ESM adalah Generalizability Theory (G-Theory; Cronbach et al., 1972). G-Theory memungkinkan dekomposisi eksplisit sumber-sumber varians pengukuran — termasuk perbedaan antarindividu, fluktuasi intraindividual, dan interaksinya. Secara operasional, implementasinya analog dengan estimasi reliabilitas test-retest dan interrater reliability, yang memang relevan karena dalam ESM konstruk yang sama diukur berulang kali pada individu yang sama.</w:t>
      </w:r>
    </w:p>
    <w:p>
      <w:pPr>
        <w:pStyle w:val="Heading1"/>
      </w:pPr>
      <w:r>
        <w:t xml:space="preserve">4. Dekomposisi Reliabilitas: Within- vs. Between-Person</w:t>
      </w:r>
    </w:p>
    <w:p>
      <w:pPr>
        <w:spacing w:after="100"/>
        <w:jc w:val="both"/>
      </w:pPr>
      <w:r>
        <w:rPr>
          <w:sz w:val="24"/>
          <w:szCs w:val="24"/>
        </w:rPr>
        <w:t xml:space="preserve">Dalam kerangka ESM, reliabilitas perlu didekomposisi menjadi dua komponen:</w:t>
      </w:r>
    </w:p>
    <w:p>
      <w:pPr>
        <w:pStyle w:val="ListParagraph"/>
        <w:numPr>
          <w:ilvl w:val="0"/>
          <w:numId w:val="2"/>
        </w:numPr>
        <w:spacing w:after="80"/>
      </w:pPr>
      <w:r>
        <w:rPr>
          <w:b/>
          <w:bCs/>
          <w:sz w:val="24"/>
          <w:szCs w:val="24"/>
        </w:rPr>
        <w:t xml:space="preserve">Reliabilitas within-person</w:t>
      </w:r>
      <w:r>
        <w:rPr>
          <w:sz w:val="24"/>
          <w:szCs w:val="24"/>
        </w:rPr>
        <w:t xml:space="preserve"> — sensitivitas alat ukur dalam mendeteksi perubahan atau fluktuasi konstruk yang terjadi secara intraindividual dari waktu ke waktu.</w:t>
      </w:r>
    </w:p>
    <w:p>
      <w:pPr>
        <w:pStyle w:val="ListParagraph"/>
        <w:numPr>
          <w:ilvl w:val="0"/>
          <w:numId w:val="2"/>
        </w:numPr>
        <w:spacing w:after="160"/>
      </w:pPr>
      <w:r>
        <w:rPr>
          <w:b/>
          <w:bCs/>
          <w:sz w:val="24"/>
          <w:szCs w:val="24"/>
        </w:rPr>
        <w:t xml:space="preserve">Reliabilitas between-person</w:t>
      </w:r>
      <w:r>
        <w:rPr>
          <w:sz w:val="24"/>
          <w:szCs w:val="24"/>
        </w:rPr>
        <w:t xml:space="preserve"> — kemampuan alat ukur dalam menangkap perbedaan antarindividu secara akurat, yaitu sejauh mana skor rata-rata antarpeserta dapat dibedakan secara reliabel.</w:t>
      </w:r>
    </w:p>
    <w:p>
      <w:pPr>
        <w:pStyle w:val="Heading1"/>
      </w:pPr>
      <w:r>
        <w:t xml:space="preserve">5. Faktor yang Memengaruhi Estimasi Reliabilitas</w:t>
      </w:r>
    </w:p>
    <w:p>
      <w:pPr>
        <w:spacing w:after="100"/>
      </w:pPr>
      <w:r>
        <w:rPr>
          <w:sz w:val="24"/>
          <w:szCs w:val="24"/>
        </w:rPr>
        <w:t xml:space="preserve">Dua faktor utama yang memengaruhi kualitas estimasi reliabilitas dalam ESM:</w:t>
      </w:r>
    </w:p>
    <w:p>
      <w:pPr>
        <w:pStyle w:val="ListParagraph"/>
        <w:numPr>
          <w:ilvl w:val="0"/>
          <w:numId w:val="3"/>
        </w:numPr>
        <w:spacing w:after="80"/>
      </w:pPr>
      <w:r>
        <w:rPr>
          <w:b/>
          <w:bCs/>
          <w:sz w:val="24"/>
          <w:szCs w:val="24"/>
        </w:rPr>
        <w:t xml:space="preserve">Intensitas desain</w:t>
      </w:r>
      <w:r>
        <w:rPr>
          <w:sz w:val="24"/>
          <w:szCs w:val="24"/>
        </w:rPr>
        <w:t xml:space="preserve"> — semakin banyak titik pengukuran (beep) per partisipan, semakin stabil estimasi yang diperoleh.</w:t>
      </w:r>
    </w:p>
    <w:p>
      <w:pPr>
        <w:pStyle w:val="ListParagraph"/>
        <w:numPr>
          <w:ilvl w:val="0"/>
          <w:numId w:val="3"/>
        </w:numPr>
        <w:spacing w:after="160"/>
      </w:pPr>
      <w:r>
        <w:rPr>
          <w:b/>
          <w:bCs/>
          <w:sz w:val="24"/>
          <w:szCs w:val="24"/>
        </w:rPr>
        <w:t xml:space="preserve">Jumlah item</w:t>
      </w:r>
      <w:r>
        <w:rPr>
          <w:sz w:val="24"/>
          <w:szCs w:val="24"/>
        </w:rPr>
        <w:t xml:space="preserve"> — skala dengan lebih banyak item menghasilkan estimasi yang lebih akurat. Namun, ESM menghadapi dilema praktis: skala yang terlalu panjang meningkatkan risiko kelelahan responden (respondent fatigue) dan attrisi.</w:t>
      </w:r>
    </w:p>
    <w:p>
      <w:pPr>
        <w:pStyle w:val="Heading1"/>
      </w:pPr>
      <w:r>
        <w:t xml:space="preserve">6. Estimasi Reliabilitas untuk Indikator Tunggal</w:t>
      </w:r>
    </w:p>
    <w:p>
      <w:pPr>
        <w:spacing w:after="120"/>
        <w:jc w:val="both"/>
      </w:pPr>
      <w:r>
        <w:rPr>
          <w:b/>
          <w:bCs/>
          <w:sz w:val="24"/>
          <w:szCs w:val="24"/>
        </w:rPr>
        <w:t xml:space="preserve">Contoh desain:</w:t>
      </w:r>
      <w:r>
        <w:rPr>
          <w:sz w:val="24"/>
          <w:szCs w:val="24"/>
        </w:rPr>
        <w:t xml:space="preserve"> studi ESM mengkaji hubungan antara mood dan kecemasan, di mana mood diukur dengan satu item berskala 7 poin, 3 kali sehari selama 8 hari (total 24 pengukuran per partisipan apabila data lengkap).</w:t>
      </w:r>
    </w:p>
    <w:p>
      <w:pPr>
        <w:pStyle w:val="Heading2"/>
      </w:pPr>
      <w:r>
        <w:t xml:space="preserve">Prosedur:</w:t>
      </w:r>
    </w:p>
    <w:p>
      <w:pPr>
        <w:pStyle w:val="ListParagraph"/>
        <w:numPr>
          <w:ilvl w:val="0"/>
          <w:numId w:val="3"/>
        </w:numPr>
        <w:spacing w:after="80"/>
      </w:pPr>
      <w:r>
        <w:rPr>
          <w:sz w:val="24"/>
          <w:szCs w:val="24"/>
        </w:rPr>
        <w:t xml:space="preserve">Estimasi Linear Mixed Effects (LME) model dengan skor mood sebagai variabel dependen dan ID partisipan sebagai grouping variable. Minta estimasi random intercept.</w:t>
      </w:r>
    </w:p>
    <w:p>
      <w:pPr>
        <w:pStyle w:val="ListParagraph"/>
        <w:numPr>
          <w:ilvl w:val="0"/>
          <w:numId w:val="3"/>
        </w:numPr>
        <w:spacing w:after="80"/>
      </w:pPr>
      <w:r>
        <w:rPr>
          <w:sz w:val="24"/>
          <w:szCs w:val="24"/>
        </w:rPr>
        <w:t xml:space="preserve">Perhatikan nilai ICC pada output. ICC mencerminkan proporsi total varians mood yang bersumber dari perbedaan antarindividu.</w:t>
      </w:r>
    </w:p>
    <w:p>
      <w:pPr>
        <w:pStyle w:val="ListParagraph"/>
        <w:numPr>
          <w:ilvl w:val="0"/>
          <w:numId w:val="3"/>
        </w:numPr>
        <w:spacing w:after="100"/>
      </w:pPr>
      <w:r>
        <w:rPr>
          <w:sz w:val="24"/>
          <w:szCs w:val="24"/>
        </w:rPr>
        <w:t xml:space="preserve">Hitung reliabilitas test-retest menggunakan rumus berikut, di mana k adalah jumlah pengukuran per partisipan:</w:t>
      </w:r>
    </w:p>
    <w:p>
      <w:pPr>
        <w:spacing w:after="80" w:before="80"/>
        <w:jc w:val="center"/>
      </w:pPr>
      <w:r>
        <w:rPr>
          <w:rFonts w:ascii="Courier New" w:cs="Courier New" w:eastAsia="Courier New" w:hAnsi="Courier New"/>
          <w:b/>
          <w:bCs/>
          <w:sz w:val="22"/>
          <w:szCs w:val="22"/>
        </w:rPr>
        <w:t xml:space="preserve">ICC(2) = ICC / [ICC + (1 − ICC) / k]</w:t>
      </w:r>
    </w:p>
    <w:p>
      <w:pPr>
        <w:spacing w:after="120" w:before="60"/>
      </w:pPr>
      <w:r>
        <w:rPr>
          <w:i/>
          <w:iCs/>
          <w:sz w:val="24"/>
          <w:szCs w:val="24"/>
        </w:rPr>
        <w:t xml:space="preserve">Contoh numerik:</w:t>
      </w:r>
      <w:r>
        <w:rPr>
          <w:sz w:val="24"/>
          <w:szCs w:val="24"/>
        </w:rPr>
        <w:t xml:space="preserve"> ICC = 0,90; k = 24 → 0,90 / [0,90 + 0,10/24] = 0,90 / 0,904 ≈ </w:t>
      </w:r>
      <w:r>
        <w:rPr>
          <w:b/>
          <w:bCs/>
          <w:sz w:val="24"/>
          <w:szCs w:val="24"/>
        </w:rPr>
        <w:t xml:space="preserve">0,995</w:t>
      </w:r>
    </w:p>
    <w:p>
      <w:pPr>
        <w:spacing w:after="160"/>
        <w:jc w:val="both"/>
      </w:pPr>
      <w:r>
        <w:rPr>
          <w:b/>
          <w:bCs/>
          <w:sz w:val="24"/>
          <w:szCs w:val="24"/>
        </w:rPr>
        <w:t xml:space="preserve">Catatan:</w:t>
      </w:r>
      <w:r>
        <w:rPr>
          <w:sz w:val="24"/>
          <w:szCs w:val="24"/>
        </w:rPr>
        <w:t xml:space="preserve"> Ini adalah pendekatan paling lemah karena tidak dapat memisahkan varians kesalahan pengukuran pada level item dari varians fluktuasi intraindividual yang substantif.</w:t>
      </w:r>
    </w:p>
    <w:p>
      <w:pPr>
        <w:pStyle w:val="Heading1"/>
      </w:pPr>
      <w:r>
        <w:t xml:space="preserve">7. Estimasi Reliabilitas untuk Multi-Item: Multilevel CFA</w:t>
      </w:r>
    </w:p>
    <w:p>
      <w:pPr>
        <w:spacing w:after="120"/>
        <w:jc w:val="both"/>
      </w:pPr>
      <w:r>
        <w:rPr>
          <w:sz w:val="24"/>
          <w:szCs w:val="24"/>
        </w:rPr>
        <w:t xml:space="preserve">Apabila konstruk diukur dengan lebih dari satu item, pendekatan yang dianjurkan adalah Multilevel Confirmatory Factor Analysis (MLCFA; Geldhof, Preacher, &amp; Zyphur, 2014). Pendekatan ini mengestimasi reliabilitas komposit secara simultan pada level within- dan between-person.</w:t>
      </w:r>
    </w:p>
    <w:p>
      <w:pPr>
        <w:spacing w:after="120"/>
      </w:pPr>
      <w:r>
        <w:rPr>
          <w:b/>
          <w:bCs/>
          <w:sz w:val="24"/>
          <w:szCs w:val="24"/>
        </w:rPr>
        <w:t xml:space="preserve">Contoh desain:</w:t>
      </w:r>
      <w:r>
        <w:rPr>
          <w:sz w:val="24"/>
          <w:szCs w:val="24"/>
        </w:rPr>
        <w:t xml:space="preserve"> sama seperti di atas, namun mood diukur dengan 4 item (mood1, mood2, mood3, mood4).</w:t>
      </w:r>
    </w:p>
    <w:p>
      <w:pPr>
        <w:pStyle w:val="Heading2"/>
      </w:pPr>
      <w:r>
        <w:t xml:space="preserve">Spesifikasi model dalam lavaan (R):</w:t>
      </w:r>
    </w:p>
    <w:p>
      <w:pPr>
        <w:spacing w:after="0" w:before="0"/>
        <w:ind w:left="360"/>
      </w:pPr>
      <w:r>
        <w:rPr>
          <w:rFonts w:ascii="Courier New" w:cs="Courier New" w:eastAsia="Courier New" w:hAnsi="Courier New"/>
          <w:sz w:val="20"/>
          <w:szCs w:val="20"/>
        </w:rPr>
        <w:t xml:space="preserve">model &lt;- '</w:t>
      </w:r>
    </w:p>
    <w:p>
      <w:pPr>
        <w:spacing w:after="0" w:before="0"/>
        <w:ind w:left="360"/>
      </w:pPr>
      <w:r>
        <w:rPr>
          <w:rFonts w:ascii="Courier New" w:cs="Courier New" w:eastAsia="Courier New" w:hAnsi="Courier New"/>
          <w:sz w:val="20"/>
          <w:szCs w:val="20"/>
        </w:rPr>
        <w:t xml:space="preserve">  level: 1</w:t>
      </w:r>
    </w:p>
    <w:p>
      <w:pPr>
        <w:spacing w:after="0" w:before="0"/>
        <w:ind w:left="360"/>
      </w:pPr>
      <w:r>
        <w:rPr>
          <w:rFonts w:ascii="Courier New" w:cs="Courier New" w:eastAsia="Courier New" w:hAnsi="Courier New"/>
          <w:sz w:val="20"/>
          <w:szCs w:val="20"/>
        </w:rPr>
        <w:t xml:space="preserve">    fluktuasi =~ mood1 + mood2 + mood3 + mood4</w:t>
      </w:r>
    </w:p>
    <w:p>
      <w:pPr>
        <w:spacing w:after="0" w:before="0"/>
        <w:ind w:left="360"/>
      </w:pPr>
      <w:r>
        <w:rPr>
          <w:rFonts w:ascii="Courier New" w:cs="Courier New" w:eastAsia="Courier New" w:hAnsi="Courier New"/>
          <w:sz w:val="20"/>
          <w:szCs w:val="20"/>
        </w:rPr>
        <w:t xml:space="preserve"> </w:t>
      </w:r>
    </w:p>
    <w:p>
      <w:pPr>
        <w:spacing w:after="0" w:before="0"/>
        <w:ind w:left="360"/>
      </w:pPr>
      <w:r>
        <w:rPr>
          <w:rFonts w:ascii="Courier New" w:cs="Courier New" w:eastAsia="Courier New" w:hAnsi="Courier New"/>
          <w:sz w:val="20"/>
          <w:szCs w:val="20"/>
        </w:rPr>
        <w:t xml:space="preserve">  level: 2</w:t>
      </w:r>
    </w:p>
    <w:p>
      <w:pPr>
        <w:spacing w:after="0" w:before="0"/>
        <w:ind w:left="360"/>
      </w:pPr>
      <w:r>
        <w:rPr>
          <w:rFonts w:ascii="Courier New" w:cs="Courier New" w:eastAsia="Courier New" w:hAnsi="Courier New"/>
          <w:sz w:val="20"/>
          <w:szCs w:val="20"/>
        </w:rPr>
        <w:t xml:space="preserve">    antar_individu =~ mood1 + mood2 + mood3 + mood4</w:t>
      </w:r>
    </w:p>
    <w:p>
      <w:pPr>
        <w:spacing w:after="0" w:before="0"/>
        <w:ind w:left="360"/>
      </w:pPr>
      <w:r>
        <w:rPr>
          <w:rFonts w:ascii="Courier New" w:cs="Courier New" w:eastAsia="Courier New" w:hAnsi="Courier New"/>
          <w:sz w:val="20"/>
          <w:szCs w:val="20"/>
        </w:rPr>
        <w:t xml:space="preserve">'</w:t>
      </w:r>
    </w:p>
    <w:p>
      <w:pPr>
        <w:spacing w:after="0" w:before="0"/>
        <w:ind w:left="360"/>
      </w:pPr>
      <w:r>
        <w:rPr>
          <w:rFonts w:ascii="Courier New" w:cs="Courier New" w:eastAsia="Courier New" w:hAnsi="Courier New"/>
          <w:sz w:val="20"/>
          <w:szCs w:val="20"/>
        </w:rPr>
        <w:t xml:space="preserve"> </w:t>
      </w:r>
    </w:p>
    <w:p>
      <w:pPr>
        <w:spacing w:after="0" w:before="0"/>
        <w:ind w:left="360"/>
      </w:pPr>
      <w:r>
        <w:rPr>
          <w:rFonts w:ascii="Courier New" w:cs="Courier New" w:eastAsia="Courier New" w:hAnsi="Courier New"/>
          <w:sz w:val="20"/>
          <w:szCs w:val="20"/>
        </w:rPr>
        <w:t xml:space="preserve">fit &lt;- cfa(model, data = data, cluster = "id")</w:t>
      </w:r>
    </w:p>
    <w:p>
      <w:pPr>
        <w:spacing w:after="120"/>
      </w:pPr>
    </w:p>
    <w:p>
      <w:pPr>
        <w:pStyle w:val="Heading2"/>
      </w:pPr>
      <w:r>
        <w:t xml:space="preserve">Implementasi dalam jamovi (SEMLj):</w:t>
      </w:r>
    </w:p>
    <w:p>
      <w:pPr>
        <w:pStyle w:val="ListParagraph"/>
        <w:numPr>
          <w:ilvl w:val="0"/>
          <w:numId w:val="3"/>
        </w:numPr>
        <w:spacing w:after="80"/>
      </w:pPr>
      <w:r>
        <w:rPr>
          <w:sz w:val="24"/>
          <w:szCs w:val="24"/>
        </w:rPr>
        <w:t xml:space="preserve">Aktifkan opsi </w:t>
      </w:r>
      <w:r>
        <w:rPr>
          <w:b/>
          <w:bCs/>
          <w:sz w:val="24"/>
          <w:szCs w:val="24"/>
        </w:rPr>
        <w:t xml:space="preserve">Multi-level analysis</w:t>
      </w:r>
      <w:r>
        <w:rPr>
          <w:sz w:val="24"/>
          <w:szCs w:val="24"/>
        </w:rPr>
        <w:t xml:space="preserve">, kemudian masukkan ID partisipan pada kolom </w:t>
      </w:r>
      <w:r>
        <w:rPr>
          <w:b/>
          <w:bCs/>
          <w:sz w:val="24"/>
          <w:szCs w:val="24"/>
        </w:rPr>
        <w:t xml:space="preserve">"Factor for multi-level cluster"</w:t>
      </w:r>
      <w:r>
        <w:rPr>
          <w:sz w:val="24"/>
          <w:szCs w:val="24"/>
        </w:rPr>
        <w:t xml:space="preserve">.</w:t>
      </w:r>
    </w:p>
    <w:p>
      <w:pPr>
        <w:pStyle w:val="ListParagraph"/>
        <w:numPr>
          <w:ilvl w:val="0"/>
          <w:numId w:val="3"/>
        </w:numPr>
        <w:spacing w:after="80"/>
      </w:pPr>
      <w:r>
        <w:rPr>
          <w:sz w:val="24"/>
          <w:szCs w:val="24"/>
        </w:rPr>
        <w:t xml:space="preserve">Pada bagian </w:t>
      </w:r>
      <w:r>
        <w:rPr>
          <w:b/>
          <w:bCs/>
          <w:sz w:val="24"/>
          <w:szCs w:val="24"/>
        </w:rPr>
        <w:t xml:space="preserve">Output Options</w:t>
      </w:r>
      <w:r>
        <w:rPr>
          <w:sz w:val="24"/>
          <w:szCs w:val="24"/>
        </w:rPr>
        <w:t xml:space="preserve">, aktifkan </w:t>
      </w:r>
      <w:r>
        <w:rPr>
          <w:b/>
          <w:bCs/>
          <w:sz w:val="24"/>
          <w:szCs w:val="24"/>
        </w:rPr>
        <w:t xml:space="preserve">"Reliability Indices"</w:t>
      </w:r>
      <w:r>
        <w:rPr>
          <w:sz w:val="24"/>
          <w:szCs w:val="24"/>
        </w:rPr>
        <w:t xml:space="preserve">.</w:t>
      </w:r>
    </w:p>
    <w:p>
      <w:pPr>
        <w:pStyle w:val="ListParagraph"/>
        <w:numPr>
          <w:ilvl w:val="0"/>
          <w:numId w:val="3"/>
        </w:numPr>
        <w:spacing w:after="200"/>
      </w:pPr>
      <w:r>
        <w:rPr>
          <w:sz w:val="24"/>
          <w:szCs w:val="24"/>
        </w:rPr>
        <w:t xml:space="preserve">Output akan menyajikan koefisien McDonald's ω (composite reliability di bawah asumsi model congeneric) secara terpisah untuk level within-person dan between-person.</w:t>
      </w:r>
    </w:p>
    <w:p>
      <w:pPr>
        <w:pStyle w:val="Heading1"/>
      </w:pPr>
      <w:r>
        <w:t xml:space="preserve">Referensi</w:t>
      </w:r>
    </w:p>
    <w:p>
      <w:pPr>
        <w:spacing w:after="100"/>
        <w:ind w:left="720" w:hanging="720"/>
      </w:pPr>
      <w:r>
        <w:rPr>
          <w:sz w:val="24"/>
          <w:szCs w:val="24"/>
        </w:rPr>
        <w:t xml:space="preserve">Cronbach, L. J., Gleser, G. C., Nanda, H., &amp; Rajaratnam, N. (1972). </w:t>
      </w:r>
      <w:r>
        <w:rPr>
          <w:i/>
          <w:iCs/>
          <w:sz w:val="24"/>
          <w:szCs w:val="24"/>
        </w:rPr>
        <w:t xml:space="preserve">The dependability of behavioral measurements: Theory of generalizability for scores and profiles.</w:t>
      </w:r>
      <w:r>
        <w:rPr>
          <w:sz w:val="24"/>
          <w:szCs w:val="24"/>
        </w:rPr>
        <w:t xml:space="preserve"> Wiley.</w:t>
      </w:r>
    </w:p>
    <w:p>
      <w:pPr>
        <w:spacing w:after="100"/>
        <w:ind w:left="720" w:hanging="720"/>
      </w:pPr>
      <w:r>
        <w:rPr>
          <w:sz w:val="24"/>
          <w:szCs w:val="24"/>
        </w:rPr>
        <w:t xml:space="preserve">Geldhof, G. J., Preacher, K. J., &amp; Zyphur, M. J. (2014). Reliability estimation in a multilevel confirmatory factor analysis framework. </w:t>
      </w:r>
      <w:r>
        <w:rPr>
          <w:i/>
          <w:iCs/>
          <w:sz w:val="24"/>
          <w:szCs w:val="24"/>
        </w:rPr>
        <w:t xml:space="preserve">Psychological Methods, 19</w:t>
      </w:r>
      <w:r>
        <w:rPr>
          <w:sz w:val="24"/>
          <w:szCs w:val="24"/>
        </w:rPr>
        <w:t xml:space="preserve">(1), 72–91. </w:t>
      </w:r>
      <w:hyperlink w:history="1" r:id="rId0uyxxaqdy_t_lhjtqof12">
        <w:r>
          <w:rPr>
            <w:rStyle w:val="Hyperlink"/>
            <w:sz w:val="24"/>
            <w:szCs w:val="24"/>
          </w:rPr>
          <w:t xml:space="preserve">https://doi.org/10.1037/a0032138</w:t>
        </w:r>
      </w:hyperlink>
    </w:p>
    <w:p>
      <w:pPr>
        <w:spacing w:after="100"/>
        <w:ind w:left="720" w:hanging="720"/>
      </w:pPr>
      <w:r>
        <w:rPr>
          <w:sz w:val="24"/>
          <w:szCs w:val="24"/>
        </w:rPr>
        <w:t xml:space="preserve">Shrout, P. E., &amp; Lane, S. P. (2012). Psychometrics. In M. R. Mehl &amp; T. S. Conner (Eds.), </w:t>
      </w:r>
      <w:r>
        <w:rPr>
          <w:i/>
          <w:iCs/>
          <w:sz w:val="24"/>
          <w:szCs w:val="24"/>
        </w:rPr>
        <w:t xml:space="preserve">Handbook of research methods for studying daily life</w:t>
      </w:r>
      <w:r>
        <w:rPr>
          <w:sz w:val="24"/>
          <w:szCs w:val="24"/>
        </w:rPr>
        <w:t xml:space="preserve"> (pp. 302–320). Guilford Press.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000000"/>
      <w:sz w:val="28"/>
      <w:szCs w:val="28"/>
    </w:rPr>
  </w:style>
  <w:style w:type="paragraph" w:styleId="Heading2">
    <w:name w:val="Heading 2"/>
    <w:basedOn w:val="Normal"/>
    <w:next w:val="Normal"/>
    <w:qFormat/>
    <w:pPr>
      <w:spacing w:after="80" w:before="20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uyxxaqdy_t_lhjtqof12" Type="http://schemas.openxmlformats.org/officeDocument/2006/relationships/hyperlink" Target="https://doi.org/10.1037/a0032138"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2026-05-17T16:52:37.679Z</dcterms:created>
  <dcterms:modified xsi:type="dcterms:W3CDTF">2026-05-17T16:52:37.680Z</dcterms:modified>
</cp:coreProperties>
</file>

<file path=docProps/custom.xml><?xml version="1.0" encoding="utf-8"?>
<Properties xmlns="http://schemas.openxmlformats.org/officeDocument/2006/custom-properties" xmlns:vt="http://schemas.openxmlformats.org/officeDocument/2006/docPropsVTypes"/>
</file>