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1A"/>
          <w:sz w:val="44"/>
        </w:rPr>
        <w:t>Krishnakumar Ramesan</w:t>
      </w:r>
    </w:p>
    <w:p>
      <w:pPr>
        <w:spacing w:after="40"/>
        <w:jc w:val="center"/>
      </w:pPr>
      <w:r>
        <w:rPr>
          <w:b w:val="0"/>
          <w:color w:val="333333"/>
          <w:sz w:val="18"/>
        </w:rPr>
        <w:t xml:space="preserve">Hayward, CA | (256) 652-8738 | ramesankrishnakumar@gmail.com | </w:t>
      </w:r>
      <w:hyperlink r:id="rId9">
        <w:r>
          <w:rPr>
            <w:color w:val="1A1A1A"/>
            <w:u w:val="none"/>
          </w:rPr>
          <w:t>linkedin.com/in/rkrrish</w:t>
        </w:r>
      </w:hyperlink>
      <w:r>
        <w:rPr>
          <w:b w:val="0"/>
          <w:color w:val="333333"/>
          <w:sz w:val="18"/>
        </w:rPr>
        <w:t xml:space="preserve"> | </w:t>
      </w:r>
      <w:hyperlink r:id="rId10">
        <w:r>
          <w:rPr>
            <w:color w:val="1A1A1A"/>
            <w:u w:val="none"/>
          </w:rPr>
          <w:t>github.com/ramesankrishnakumar</w:t>
        </w:r>
      </w:hyperlink>
    </w:p>
    <w:p>
      <w:pPr>
        <w:spacing w:after="80"/>
        <w:jc w:val="center"/>
      </w:pPr>
      <w:r>
        <w:rPr>
          <w:b/>
          <w:color w:val="1A1A1A"/>
          <w:sz w:val="18"/>
        </w:rPr>
        <w:t>Senior Software Engineer | Distributed Systems | Multi-Agent AI | SSO &amp; Event-Driven Architecture</w:t>
      </w:r>
    </w:p>
    <w:p>
      <w:pPr>
        <w:spacing w:before="160" w:after="60"/>
        <w:pBdr>
          <w:bottom w:val="single" w:sz="6" w:space="2" w:color="999999"/>
        </w:pBdr>
      </w:pPr>
      <w:r>
        <w:rPr>
          <w:b/>
          <w:color w:val="1A1A1A"/>
          <w:sz w:val="20"/>
          <w:spacing w:val="30"/>
        </w:rPr>
        <w:t>PROFILE</w:t>
      </w:r>
    </w:p>
    <w:p>
      <w:pPr>
        <w:spacing w:after="60"/>
      </w:pPr>
      <w:r>
        <w:rPr>
          <w:b w:val="0"/>
          <w:color w:val="1A1A1A"/>
          <w:sz w:val="20"/>
        </w:rPr>
        <w:t xml:space="preserve">Senior Software Engineer with </w:t>
      </w:r>
      <w:r>
        <w:rPr>
          <w:b/>
          <w:color w:val="1A1A1A"/>
          <w:sz w:val="20"/>
        </w:rPr>
        <w:t>13+ years</w:t>
      </w:r>
      <w:r>
        <w:rPr>
          <w:b w:val="0"/>
          <w:color w:val="1A1A1A"/>
          <w:sz w:val="20"/>
        </w:rPr>
        <w:t xml:space="preserve"> building enterprise microservices, identity integrations with </w:t>
      </w:r>
      <w:r>
        <w:rPr>
          <w:b/>
          <w:color w:val="1A1A1A"/>
          <w:sz w:val="20"/>
        </w:rPr>
        <w:t>SAML, OIDC, and Okta</w:t>
      </w:r>
      <w:r>
        <w:rPr>
          <w:b w:val="0"/>
          <w:color w:val="1A1A1A"/>
          <w:sz w:val="20"/>
        </w:rPr>
        <w:t xml:space="preserve">, and event-driven systems on </w:t>
      </w:r>
      <w:r>
        <w:rPr>
          <w:b/>
          <w:color w:val="1A1A1A"/>
          <w:sz w:val="20"/>
        </w:rPr>
        <w:t>Kafka and RabbitMQ</w:t>
      </w:r>
      <w:r>
        <w:rPr>
          <w:b w:val="0"/>
          <w:color w:val="1A1A1A"/>
          <w:sz w:val="20"/>
        </w:rPr>
        <w:t xml:space="preserve">. Recently designed and shipped a production multi-agent AI onboarding system for QuickBooks on </w:t>
      </w:r>
      <w:r>
        <w:rPr>
          <w:b/>
          <w:color w:val="1A1A1A"/>
          <w:sz w:val="20"/>
        </w:rPr>
        <w:t>LangGraph and OpenAI GPT 4.1</w:t>
      </w:r>
      <w:r>
        <w:rPr>
          <w:b w:val="0"/>
          <w:color w:val="1A1A1A"/>
          <w:sz w:val="20"/>
        </w:rPr>
        <w:t xml:space="preserve">, ramped to </w:t>
      </w:r>
      <w:r>
        <w:rPr>
          <w:b/>
          <w:color w:val="1A1A1A"/>
          <w:sz w:val="20"/>
        </w:rPr>
        <w:t>50% of first-time trial customers</w:t>
      </w:r>
      <w:r>
        <w:rPr>
          <w:b w:val="0"/>
          <w:color w:val="1A1A1A"/>
          <w:sz w:val="20"/>
        </w:rPr>
        <w:t xml:space="preserve">. Strong in </w:t>
      </w:r>
      <w:r>
        <w:rPr>
          <w:b/>
          <w:color w:val="1A1A1A"/>
          <w:sz w:val="20"/>
        </w:rPr>
        <w:t>Kotlin/Java</w:t>
      </w:r>
      <w:r>
        <w:rPr>
          <w:b w:val="0"/>
          <w:color w:val="1A1A1A"/>
          <w:sz w:val="20"/>
        </w:rPr>
        <w:t>, distributed system design, data security, and production reliability at scale.</w:t>
      </w:r>
    </w:p>
    <w:p>
      <w:pPr>
        <w:spacing w:before="160" w:after="60"/>
        <w:pBdr>
          <w:bottom w:val="single" w:sz="6" w:space="2" w:color="999999"/>
        </w:pBdr>
      </w:pPr>
      <w:r>
        <w:rPr>
          <w:b/>
          <w:color w:val="1A1A1A"/>
          <w:sz w:val="20"/>
          <w:spacing w:val="30"/>
        </w:rPr>
        <w:t>EXPERIENCE</w:t>
      </w:r>
    </w:p>
    <w:p>
      <w:pPr>
        <w:tabs>
          <w:tab w:pos="10368" w:val="right"/>
        </w:tabs>
        <w:spacing w:before="100" w:after="20"/>
      </w:pPr>
      <w:r>
        <w:rPr>
          <w:b/>
          <w:sz w:val="21"/>
        </w:rPr>
        <w:t>Intuit — Senior Software Engineer</w:t>
      </w:r>
      <w:r>
        <w:rPr>
          <w:color w:val="444444"/>
          <w:sz w:val="18"/>
        </w:rPr>
        <w:tab/>
        <w:t>Aug 2022 – Present</w:t>
      </w:r>
    </w:p>
    <w:p>
      <w:pPr>
        <w:pStyle w:val="ListBullet"/>
        <w:spacing w:after="40"/>
      </w:pPr>
      <w:r>
        <w:rPr>
          <w:b/>
          <w:color w:val="1A1A1A"/>
          <w:sz w:val="20"/>
        </w:rPr>
        <w:t>Designed and shipped</w:t>
      </w:r>
      <w:r>
        <w:rPr>
          <w:b w:val="0"/>
          <w:color w:val="1A1A1A"/>
          <w:sz w:val="20"/>
        </w:rPr>
        <w:t xml:space="preserve"> a production multi-agent AI onboarding assistant for QuickBooks on LangGraph and OpenAI GPT 4.1, driving it from hackathon prototype to production as tech lead. Built a config-driven intent orchestrator that classifies each user message as an onboarding question, an expert handoff, or a general QuickBooks question beyond the domain agents' scope, then routes onboarding questions to a second config-driven orchestrator that delegates across 7 domain agents or answers directly from prior conversation and progress context.</w:t>
      </w:r>
    </w:p>
    <w:p>
      <w:pPr>
        <w:pStyle w:val="ListBullet"/>
        <w:spacing w:after="40"/>
      </w:pPr>
      <w:r>
        <w:rPr>
          <w:b/>
          <w:color w:val="1A1A1A"/>
          <w:sz w:val="20"/>
        </w:rPr>
        <w:t>Built</w:t>
      </w:r>
      <w:r>
        <w:rPr>
          <w:b w:val="0"/>
          <w:color w:val="1A1A1A"/>
          <w:sz w:val="20"/>
        </w:rPr>
        <w:t xml:space="preserve"> the screen context engine grounding those agents in what the customer sees, converting the live DOM into a compact markdown structure with on-page redaction of sensitive data like SSNs, addresses, and phone numbers. Replaced an earlier screenshot-plus-vision-LLM pipeline of roughly </w:t>
      </w:r>
      <w:r>
        <w:rPr>
          <w:b/>
          <w:color w:val="1A1A1A"/>
          <w:sz w:val="20"/>
        </w:rPr>
        <w:t>9 seconds per turn with a ~30 ms DOM parse</w:t>
      </w:r>
      <w:r>
        <w:rPr>
          <w:b w:val="0"/>
          <w:color w:val="1A1A1A"/>
          <w:sz w:val="20"/>
        </w:rPr>
        <w:t>, trading away on-screen imagery the onboarding use case did not need.</w:t>
      </w:r>
    </w:p>
    <w:p>
      <w:pPr>
        <w:pStyle w:val="ListBullet"/>
        <w:spacing w:after="40"/>
      </w:pPr>
      <w:r>
        <w:rPr>
          <w:b/>
          <w:color w:val="1A1A1A"/>
          <w:sz w:val="20"/>
        </w:rPr>
        <w:t>Hardened</w:t>
      </w:r>
      <w:r>
        <w:rPr>
          <w:b w:val="0"/>
          <w:color w:val="1A1A1A"/>
          <w:sz w:val="20"/>
        </w:rPr>
        <w:t xml:space="preserve"> the context engine for a constantly navigating app by debouncing captures to fire only after the user settles, waiting for page navigation to complete before reading the DOM, and letting agents request a fresh read on demand, keeping guidance accurate without flooding the pipeline on every interaction.</w:t>
      </w:r>
    </w:p>
    <w:p>
      <w:pPr>
        <w:pStyle w:val="ListBullet"/>
        <w:spacing w:after="40"/>
      </w:pPr>
      <w:r>
        <w:rPr>
          <w:b/>
          <w:color w:val="1A1A1A"/>
          <w:sz w:val="20"/>
        </w:rPr>
        <w:t>Designed and built</w:t>
      </w:r>
      <w:r>
        <w:rPr>
          <w:b w:val="0"/>
          <w:color w:val="1A1A1A"/>
          <w:sz w:val="20"/>
        </w:rPr>
        <w:t xml:space="preserve"> account and credential management for QuickBooks' shipping module, enabling customers to fulfill invoices end to end and print labels via a carrier aggregator. Launched to GA as the </w:t>
      </w:r>
      <w:r>
        <w:rPr>
          <w:b/>
          <w:color w:val="1A1A1A"/>
          <w:sz w:val="20"/>
        </w:rPr>
        <w:t>first core revenue product in the Commerce Business Unit</w:t>
      </w:r>
      <w:r>
        <w:rPr>
          <w:b w:val="0"/>
          <w:color w:val="1A1A1A"/>
          <w:sz w:val="20"/>
        </w:rPr>
        <w:t xml:space="preserve"> with hundreds of shipping labels created post-launch.</w:t>
      </w:r>
    </w:p>
    <w:p>
      <w:pPr>
        <w:pStyle w:val="ListBullet"/>
        <w:spacing w:after="40"/>
      </w:pPr>
      <w:r>
        <w:rPr>
          <w:b/>
          <w:color w:val="1A1A1A"/>
          <w:sz w:val="20"/>
        </w:rPr>
        <w:t>Secured</w:t>
      </w:r>
      <w:r>
        <w:rPr>
          <w:b w:val="0"/>
          <w:color w:val="1A1A1A"/>
          <w:sz w:val="20"/>
        </w:rPr>
        <w:t xml:space="preserve"> thousands of carrier API credentials with AES-256-GCM envelope encryption via AWS KMS, 30-day versioned root key rotation, and mTLS in transit, built as an isolated migration-ready module to unblock GA when the platform team could not support the provider's hierarchical key model.</w:t>
      </w:r>
    </w:p>
    <w:p>
      <w:pPr>
        <w:pStyle w:val="ListBullet"/>
        <w:spacing w:after="40"/>
      </w:pPr>
      <w:r>
        <w:rPr>
          <w:b/>
          <w:color w:val="1A1A1A"/>
          <w:sz w:val="20"/>
        </w:rPr>
        <w:t>Owned</w:t>
      </w:r>
      <w:r>
        <w:rPr>
          <w:b w:val="0"/>
          <w:color w:val="1A1A1A"/>
          <w:sz w:val="20"/>
        </w:rPr>
        <w:t xml:space="preserve"> a fault-tolerant fulfillment subsystem syncing across </w:t>
      </w:r>
      <w:r>
        <w:rPr>
          <w:b/>
          <w:color w:val="1A1A1A"/>
          <w:sz w:val="20"/>
        </w:rPr>
        <w:t>4 sales channels</w:t>
      </w:r>
      <w:r>
        <w:rPr>
          <w:b w:val="0"/>
          <w:color w:val="1A1A1A"/>
          <w:sz w:val="20"/>
        </w:rPr>
        <w:t xml:space="preserve"> (hundreds of thousands of events per day), designed for idempotent consumers, ordered delivery, and safe recovery under partial failures. Scaled it to sustain </w:t>
      </w:r>
      <w:r>
        <w:rPr>
          <w:b/>
          <w:color w:val="1A1A1A"/>
          <w:sz w:val="20"/>
        </w:rPr>
        <w:t>75 TPS</w:t>
      </w:r>
      <w:r>
        <w:rPr>
          <w:b w:val="0"/>
          <w:color w:val="1A1A1A"/>
          <w:sz w:val="20"/>
        </w:rPr>
        <w:t xml:space="preserve"> through database partitioning, sharding, and load-based autoscaling, verifying the throughput with custom load-generation scripts.</w:t>
      </w:r>
    </w:p>
    <w:p>
      <w:pPr>
        <w:pStyle w:val="ListBullet"/>
        <w:spacing w:after="40"/>
      </w:pPr>
      <w:r>
        <w:rPr>
          <w:b/>
          <w:color w:val="1A1A1A"/>
          <w:sz w:val="20"/>
        </w:rPr>
        <w:t>Eliminated</w:t>
      </w:r>
      <w:r>
        <w:rPr>
          <w:b w:val="0"/>
          <w:color w:val="1A1A1A"/>
          <w:sz w:val="20"/>
        </w:rPr>
        <w:t xml:space="preserve"> a production 30-second timeout when bulk-matching catalog variants by profiling query patterns and removing redundant round-trips, unnecessary data loads, and missing indexes, </w:t>
      </w:r>
      <w:r>
        <w:rPr>
          <w:b/>
          <w:color w:val="1A1A1A"/>
          <w:sz w:val="20"/>
        </w:rPr>
        <w:t>dropping response time from 30 s to 785 ms (97% reduction)</w:t>
      </w:r>
      <w:r>
        <w:rPr>
          <w:b w:val="0"/>
          <w:color w:val="1A1A1A"/>
          <w:sz w:val="20"/>
        </w:rPr>
        <w:t>.</w:t>
      </w:r>
    </w:p>
    <w:p>
      <w:pPr>
        <w:pStyle w:val="ListBullet"/>
        <w:spacing w:after="40"/>
      </w:pPr>
      <w:r>
        <w:rPr>
          <w:b/>
          <w:color w:val="1A1A1A"/>
          <w:sz w:val="20"/>
        </w:rPr>
        <w:t>Designed and built</w:t>
      </w:r>
      <w:r>
        <w:rPr>
          <w:b w:val="0"/>
          <w:color w:val="1A1A1A"/>
          <w:sz w:val="20"/>
        </w:rPr>
        <w:t xml:space="preserve"> a configurable peer-review system for Live Bookkeeping expert work with FIFO-based reviewer assignment, structured questionnaires with bidirectional notifications, and UiPath RPA integration for automated final-stage review. New services onboard through configuration alone, </w:t>
      </w:r>
      <w:r>
        <w:rPr>
          <w:b/>
          <w:color w:val="1A1A1A"/>
          <w:sz w:val="20"/>
        </w:rPr>
        <w:t>saving ~25,000 hours of expert time (30 min × 50K active services)</w:t>
      </w:r>
      <w:r>
        <w:rPr>
          <w:b w:val="0"/>
          <w:color w:val="1A1A1A"/>
          <w:sz w:val="20"/>
        </w:rPr>
        <w:t>.</w:t>
      </w:r>
    </w:p>
    <w:p>
      <w:pPr>
        <w:tabs>
          <w:tab w:pos="10368" w:val="right"/>
        </w:tabs>
        <w:spacing w:before="100" w:after="20"/>
      </w:pPr>
      <w:r>
        <w:rPr>
          <w:b/>
          <w:sz w:val="21"/>
        </w:rPr>
        <w:t>TriNet — Software Engineer</w:t>
      </w:r>
      <w:r>
        <w:rPr>
          <w:color w:val="444444"/>
          <w:sz w:val="18"/>
        </w:rPr>
        <w:tab/>
        <w:t>Aug 2016 – Jul 2022</w:t>
      </w:r>
    </w:p>
    <w:p>
      <w:pPr>
        <w:pStyle w:val="ListBullet"/>
        <w:spacing w:after="40"/>
      </w:pPr>
      <w:r>
        <w:rPr>
          <w:b/>
          <w:color w:val="1A1A1A"/>
          <w:sz w:val="20"/>
        </w:rPr>
        <w:t>Built</w:t>
      </w:r>
      <w:r>
        <w:rPr>
          <w:b w:val="0"/>
          <w:color w:val="1A1A1A"/>
          <w:sz w:val="20"/>
        </w:rPr>
        <w:t xml:space="preserve"> a scalable ACL-based authorization service consumed by </w:t>
      </w:r>
      <w:r>
        <w:rPr>
          <w:b/>
          <w:color w:val="1A1A1A"/>
          <w:sz w:val="20"/>
        </w:rPr>
        <w:t>20 microservices</w:t>
      </w:r>
      <w:r>
        <w:rPr>
          <w:b w:val="0"/>
          <w:color w:val="1A1A1A"/>
          <w:sz w:val="20"/>
        </w:rPr>
        <w:t>, eliminating per-request database round-trips with a two-tier cache (per-user role entries invalidated on role-change events, endpoint access policies at a longer TTL), measurably reducing p90 authorization latency under production load. Delivered a companion dynamic policy dashboard allowing DevOps to update role requirements without code redeploys across all 20 dependent services.</w:t>
      </w:r>
    </w:p>
    <w:p>
      <w:pPr>
        <w:pStyle w:val="ListBullet"/>
        <w:spacing w:after="40"/>
      </w:pPr>
      <w:r>
        <w:rPr>
          <w:b/>
          <w:color w:val="1A1A1A"/>
          <w:sz w:val="20"/>
        </w:rPr>
        <w:t>Built</w:t>
      </w:r>
      <w:r>
        <w:rPr>
          <w:b w:val="0"/>
          <w:color w:val="1A1A1A"/>
          <w:sz w:val="20"/>
        </w:rPr>
        <w:t xml:space="preserve"> a core SSO microservice serving </w:t>
      </w:r>
      <w:r>
        <w:rPr>
          <w:b/>
          <w:color w:val="1A1A1A"/>
          <w:sz w:val="20"/>
        </w:rPr>
        <w:t>~400K TriNet customers</w:t>
      </w:r>
      <w:r>
        <w:rPr>
          <w:b w:val="0"/>
          <w:color w:val="1A1A1A"/>
          <w:sz w:val="20"/>
        </w:rPr>
        <w:t xml:space="preserve"> across </w:t>
      </w:r>
      <w:r>
        <w:rPr>
          <w:b/>
          <w:color w:val="1A1A1A"/>
          <w:sz w:val="20"/>
        </w:rPr>
        <w:t>~20 cloud software provider integrations</w:t>
      </w:r>
      <w:r>
        <w:rPr>
          <w:b w:val="0"/>
          <w:color w:val="1A1A1A"/>
          <w:sz w:val="20"/>
        </w:rPr>
        <w:t>, resolving provider-specific SAML attributes, surfacing per-user provisioned application links, and orchestrating the final SSO handshake to enable password-free access for employees with no dedicated IT resources.</w:t>
      </w:r>
    </w:p>
    <w:p>
      <w:pPr>
        <w:pStyle w:val="ListBullet"/>
        <w:spacing w:after="40"/>
      </w:pPr>
      <w:r>
        <w:rPr>
          <w:b/>
          <w:color w:val="1A1A1A"/>
          <w:sz w:val="20"/>
        </w:rPr>
        <w:t>Eliminated</w:t>
      </w:r>
      <w:r>
        <w:rPr>
          <w:b w:val="0"/>
          <w:color w:val="1A1A1A"/>
          <w:sz w:val="20"/>
        </w:rPr>
        <w:t xml:space="preserve"> dependency on live partner environments for SSO regression testing by building a SAML integration test stub covering </w:t>
      </w:r>
      <w:r>
        <w:rPr>
          <w:b/>
          <w:color w:val="1A1A1A"/>
          <w:sz w:val="20"/>
        </w:rPr>
        <w:t>~20 provider integrations</w:t>
      </w:r>
      <w:r>
        <w:rPr>
          <w:b w:val="0"/>
          <w:color w:val="1A1A1A"/>
          <w:sz w:val="20"/>
        </w:rPr>
        <w:t>, enabling QE to run full regression suites on-demand and decoupling release cycles from third-party availability.</w:t>
      </w:r>
    </w:p>
    <w:p>
      <w:pPr>
        <w:pStyle w:val="ListBullet"/>
        <w:spacing w:after="40"/>
      </w:pPr>
      <w:r>
        <w:rPr>
          <w:b/>
          <w:color w:val="1A1A1A"/>
          <w:sz w:val="20"/>
        </w:rPr>
        <w:t>Built</w:t>
      </w:r>
      <w:r>
        <w:rPr>
          <w:b w:val="0"/>
          <w:color w:val="1A1A1A"/>
          <w:sz w:val="20"/>
        </w:rPr>
        <w:t xml:space="preserve"> an audited event-bridge connecting an on-premise HR engine to new microservices, processing </w:t>
      </w:r>
      <w:r>
        <w:rPr>
          <w:b/>
          <w:color w:val="1A1A1A"/>
          <w:sz w:val="20"/>
        </w:rPr>
        <w:t>300–400K events/day</w:t>
      </w:r>
      <w:r>
        <w:rPr>
          <w:b w:val="0"/>
          <w:color w:val="1A1A1A"/>
          <w:sz w:val="20"/>
        </w:rPr>
        <w:t xml:space="preserve"> with write-ahead audit logging as a replay buffer for failure recovery. Delivered an admin dashboard for support to query, correct, and resubmit failed events, </w:t>
      </w:r>
      <w:r>
        <w:rPr>
          <w:b/>
          <w:color w:val="1A1A1A"/>
          <w:sz w:val="20"/>
        </w:rPr>
        <w:t>saving 10–15 min per incident</w:t>
      </w:r>
      <w:r>
        <w:rPr>
          <w:b w:val="0"/>
          <w:color w:val="1A1A1A"/>
          <w:sz w:val="20"/>
        </w:rPr>
        <w:t>, with a full change audit trail on every human intervention.</w:t>
      </w:r>
    </w:p>
    <w:p>
      <w:pPr>
        <w:tabs>
          <w:tab w:pos="10368" w:val="right"/>
        </w:tabs>
        <w:spacing w:before="100" w:after="20"/>
      </w:pPr>
      <w:r>
        <w:rPr>
          <w:b/>
          <w:sz w:val="21"/>
        </w:rPr>
        <w:t>Mazda North American Operations — Contractor</w:t>
      </w:r>
      <w:r>
        <w:rPr>
          <w:color w:val="444444"/>
          <w:sz w:val="18"/>
        </w:rPr>
        <w:tab/>
        <w:t>Nov 2015 – Apr 2016</w:t>
      </w:r>
    </w:p>
    <w:p>
      <w:pPr>
        <w:pStyle w:val="ListBullet"/>
        <w:spacing w:after="40"/>
      </w:pPr>
      <w:r>
        <w:rPr>
          <w:b w:val="0"/>
          <w:color w:val="1A1A1A"/>
          <w:sz w:val="20"/>
        </w:rPr>
        <w:t>Built RESTful microservices during a monolith modernization initiative, delivering performance improvements and feature enhancements to internal applications.</w:t>
      </w:r>
    </w:p>
    <w:p>
      <w:pPr>
        <w:tabs>
          <w:tab w:pos="10368" w:val="right"/>
        </w:tabs>
        <w:spacing w:before="100" w:after="20"/>
      </w:pPr>
      <w:r>
        <w:rPr>
          <w:b/>
          <w:sz w:val="21"/>
        </w:rPr>
        <w:t>Infosys Limited — Systems Engineer</w:t>
      </w:r>
      <w:r>
        <w:rPr>
          <w:color w:val="444444"/>
          <w:sz w:val="18"/>
        </w:rPr>
        <w:tab/>
        <w:t>Jun 2011 – Jun 2013</w:t>
      </w:r>
    </w:p>
    <w:p>
      <w:pPr>
        <w:pStyle w:val="ListBullet"/>
        <w:spacing w:after="40"/>
      </w:pPr>
      <w:r>
        <w:rPr>
          <w:b w:val="0"/>
          <w:color w:val="1A1A1A"/>
          <w:sz w:val="20"/>
        </w:rPr>
        <w:t>Monitored and supported production ETL jobs, migrated and tested code across lower environments, and reported daily job statistics to business stakeholders.</w:t>
      </w:r>
    </w:p>
    <w:p>
      <w:pPr>
        <w:spacing w:before="160" w:after="60"/>
        <w:pBdr>
          <w:bottom w:val="single" w:sz="6" w:space="2" w:color="999999"/>
        </w:pBdr>
      </w:pPr>
      <w:r>
        <w:rPr>
          <w:b/>
          <w:color w:val="1A1A1A"/>
          <w:sz w:val="20"/>
          <w:spacing w:val="30"/>
        </w:rPr>
        <w:t>EDUCATION</w:t>
      </w:r>
    </w:p>
    <w:p>
      <w:pPr>
        <w:spacing w:after="60"/>
      </w:pPr>
      <w:r>
        <w:rPr>
          <w:b/>
          <w:color w:val="1A1A1A"/>
          <w:sz w:val="20"/>
        </w:rPr>
        <w:t>M.S. Computer Science</w:t>
      </w:r>
      <w:r>
        <w:rPr>
          <w:b w:val="0"/>
          <w:color w:val="1A1A1A"/>
          <w:sz w:val="20"/>
        </w:rPr>
        <w:t xml:space="preserve">, University of Alabama in Huntsville — May 2015 | GPA </w:t>
      </w:r>
      <w:r>
        <w:rPr>
          <w:b/>
          <w:color w:val="1A1A1A"/>
          <w:sz w:val="20"/>
        </w:rPr>
        <w:t>3.75 / 4.0</w:t>
      </w:r>
    </w:p>
    <w:p>
      <w:pPr>
        <w:spacing w:after="60"/>
      </w:pPr>
      <w:r>
        <w:rPr>
          <w:b/>
          <w:color w:val="1A1A1A"/>
          <w:sz w:val="20"/>
        </w:rPr>
        <w:t>B.Tech Electronics and Communication</w:t>
      </w:r>
      <w:r>
        <w:rPr>
          <w:b w:val="0"/>
          <w:color w:val="1A1A1A"/>
          <w:sz w:val="20"/>
        </w:rPr>
        <w:t xml:space="preserve">, Amrita School of Engineering — Jun 2011 | GPA </w:t>
      </w:r>
      <w:r>
        <w:rPr>
          <w:b/>
          <w:color w:val="1A1A1A"/>
          <w:sz w:val="20"/>
        </w:rPr>
        <w:t>3.0 / 4.0</w:t>
      </w:r>
    </w:p>
    <w:p>
      <w:pPr>
        <w:spacing w:before="160" w:after="60"/>
        <w:pBdr>
          <w:bottom w:val="single" w:sz="6" w:space="2" w:color="999999"/>
        </w:pBdr>
      </w:pPr>
      <w:r>
        <w:rPr>
          <w:b/>
          <w:color w:val="1A1A1A"/>
          <w:sz w:val="20"/>
          <w:spacing w:val="30"/>
        </w:rPr>
        <w:t>SKILLS</w:t>
      </w:r>
    </w:p>
    <w:p>
      <w:pPr>
        <w:spacing w:after="60"/>
      </w:pPr>
      <w:r>
        <w:rPr>
          <w:b/>
          <w:color w:val="1A1A1A"/>
          <w:sz w:val="20"/>
        </w:rPr>
        <w:t>Languages:</w:t>
      </w:r>
      <w:r>
        <w:rPr>
          <w:b w:val="0"/>
          <w:color w:val="1A1A1A"/>
          <w:sz w:val="20"/>
        </w:rPr>
        <w:t xml:space="preserve"> Kotlin, Java, Python</w:t>
      </w:r>
    </w:p>
    <w:p>
      <w:pPr>
        <w:spacing w:after="60"/>
      </w:pPr>
      <w:r>
        <w:rPr>
          <w:b/>
          <w:color w:val="1A1A1A"/>
          <w:sz w:val="20"/>
        </w:rPr>
        <w:t>Frameworks:</w:t>
      </w:r>
      <w:r>
        <w:rPr>
          <w:b w:val="0"/>
          <w:color w:val="1A1A1A"/>
          <w:sz w:val="20"/>
        </w:rPr>
        <w:t xml:space="preserve"> Spring Boot, Hibernate, GraphQL (Netflix DGS)</w:t>
      </w:r>
    </w:p>
    <w:p>
      <w:pPr>
        <w:spacing w:after="60"/>
      </w:pPr>
      <w:r>
        <w:rPr>
          <w:b/>
          <w:color w:val="1A1A1A"/>
          <w:sz w:val="20"/>
        </w:rPr>
        <w:t>AI / Agents:</w:t>
      </w:r>
      <w:r>
        <w:rPr>
          <w:b w:val="0"/>
          <w:color w:val="1A1A1A"/>
          <w:sz w:val="20"/>
        </w:rPr>
        <w:t xml:space="preserve"> LangGraph, OpenAI API (GPT 4.1), multi-agent orchestration, DOM-based context engineering</w:t>
      </w:r>
    </w:p>
    <w:p>
      <w:pPr>
        <w:spacing w:after="60"/>
      </w:pPr>
      <w:r>
        <w:rPr>
          <w:b/>
          <w:color w:val="1A1A1A"/>
          <w:sz w:val="20"/>
        </w:rPr>
        <w:t>Messaging / Streaming:</w:t>
      </w:r>
      <w:r>
        <w:rPr>
          <w:b w:val="0"/>
          <w:color w:val="1A1A1A"/>
          <w:sz w:val="20"/>
        </w:rPr>
        <w:t xml:space="preserve"> Kafka, RabbitMQ</w:t>
      </w:r>
    </w:p>
    <w:p>
      <w:pPr>
        <w:spacing w:after="60"/>
      </w:pPr>
      <w:r>
        <w:rPr>
          <w:b/>
          <w:color w:val="1A1A1A"/>
          <w:sz w:val="20"/>
        </w:rPr>
        <w:t>Data:</w:t>
      </w:r>
      <w:r>
        <w:rPr>
          <w:b w:val="0"/>
          <w:color w:val="1A1A1A"/>
          <w:sz w:val="20"/>
        </w:rPr>
        <w:t xml:space="preserve"> PostgreSQL, DynamoDB, Redis</w:t>
      </w:r>
    </w:p>
    <w:p>
      <w:pPr>
        <w:spacing w:after="60"/>
      </w:pPr>
      <w:r>
        <w:rPr>
          <w:b/>
          <w:color w:val="1A1A1A"/>
          <w:sz w:val="20"/>
        </w:rPr>
        <w:t>Identity / Security:</w:t>
      </w:r>
      <w:r>
        <w:rPr>
          <w:b w:val="0"/>
          <w:color w:val="1A1A1A"/>
          <w:sz w:val="20"/>
        </w:rPr>
        <w:t xml:space="preserve"> Okta, SAML, OIDC, SSO, AWS KMS, AES-256-GCM</w:t>
      </w:r>
    </w:p>
    <w:p>
      <w:pPr>
        <w:spacing w:after="60"/>
      </w:pPr>
      <w:r>
        <w:rPr>
          <w:b/>
          <w:color w:val="1A1A1A"/>
          <w:sz w:val="20"/>
        </w:rPr>
        <w:t>Platform:</w:t>
      </w:r>
      <w:r>
        <w:rPr>
          <w:b w:val="0"/>
          <w:color w:val="1A1A1A"/>
          <w:sz w:val="20"/>
        </w:rPr>
        <w:t xml:space="preserve"> AWS, Kubernetes, Podman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krrish/" TargetMode="External"/><Relationship Id="rId10" Type="http://schemas.openxmlformats.org/officeDocument/2006/relationships/hyperlink" Target="https://github.com/ramesankrishnaku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