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A7E" w:rsidRDefault="001E7633" w:rsidP="001E7633">
      <w:pPr>
        <w:jc w:val="center"/>
        <w:rPr>
          <w:b/>
          <w:sz w:val="36"/>
        </w:rPr>
      </w:pPr>
      <w:r w:rsidRPr="001E7633">
        <w:rPr>
          <w:b/>
          <w:sz w:val="36"/>
        </w:rPr>
        <w:t>TERMS OF REFERENCE</w:t>
      </w:r>
    </w:p>
    <w:p w:rsidR="001E7633" w:rsidRDefault="001E7633" w:rsidP="001E7633">
      <w:pPr>
        <w:jc w:val="center"/>
        <w:rPr>
          <w:b/>
          <w:sz w:val="36"/>
        </w:rPr>
      </w:pPr>
    </w:p>
    <w:p w:rsidR="001E7633" w:rsidRDefault="001E7633" w:rsidP="001E7633">
      <w:pPr>
        <w:jc w:val="both"/>
        <w:rPr>
          <w:sz w:val="24"/>
        </w:rPr>
      </w:pPr>
      <w:r>
        <w:rPr>
          <w:sz w:val="24"/>
        </w:rPr>
        <w:tab/>
      </w:r>
    </w:p>
    <w:tbl>
      <w:tblPr>
        <w:tblStyle w:val="TableGrid"/>
        <w:tblW w:w="9625" w:type="dxa"/>
        <w:tblLook w:val="04A0" w:firstRow="1" w:lastRow="0" w:firstColumn="1" w:lastColumn="0" w:noHBand="0" w:noVBand="1"/>
      </w:tblPr>
      <w:tblGrid>
        <w:gridCol w:w="3235"/>
        <w:gridCol w:w="6390"/>
      </w:tblGrid>
      <w:tr w:rsidR="00AF3173" w:rsidTr="00FB0846">
        <w:tc>
          <w:tcPr>
            <w:tcW w:w="3235" w:type="dxa"/>
          </w:tcPr>
          <w:p w:rsidR="00AF3173" w:rsidRPr="00FB0846" w:rsidRDefault="008A7C93" w:rsidP="001E7633">
            <w:pPr>
              <w:jc w:val="both"/>
              <w:rPr>
                <w:b/>
                <w:sz w:val="24"/>
              </w:rPr>
            </w:pPr>
            <w:r w:rsidRPr="00FB0846">
              <w:rPr>
                <w:b/>
                <w:sz w:val="24"/>
              </w:rPr>
              <w:t>Project Description</w:t>
            </w:r>
          </w:p>
        </w:tc>
        <w:tc>
          <w:tcPr>
            <w:tcW w:w="6390" w:type="dxa"/>
          </w:tcPr>
          <w:p w:rsidR="00AF3173" w:rsidRDefault="00AF3173" w:rsidP="001E7633">
            <w:pPr>
              <w:jc w:val="both"/>
              <w:rPr>
                <w:sz w:val="24"/>
              </w:rPr>
            </w:pPr>
          </w:p>
        </w:tc>
      </w:tr>
      <w:tr w:rsidR="00AF3173" w:rsidTr="00FB0846">
        <w:tc>
          <w:tcPr>
            <w:tcW w:w="3235" w:type="dxa"/>
          </w:tcPr>
          <w:p w:rsidR="00AF3173" w:rsidRPr="00FB0846" w:rsidRDefault="008A7C93" w:rsidP="001E7633">
            <w:pPr>
              <w:jc w:val="both"/>
              <w:rPr>
                <w:b/>
                <w:sz w:val="24"/>
              </w:rPr>
            </w:pPr>
            <w:r w:rsidRPr="00FB0846">
              <w:rPr>
                <w:b/>
                <w:sz w:val="24"/>
              </w:rPr>
              <w:t>Contract Price</w:t>
            </w:r>
          </w:p>
        </w:tc>
        <w:tc>
          <w:tcPr>
            <w:tcW w:w="6390" w:type="dxa"/>
          </w:tcPr>
          <w:p w:rsidR="00AF3173" w:rsidRDefault="00AF3173" w:rsidP="001E7633">
            <w:pPr>
              <w:jc w:val="both"/>
              <w:rPr>
                <w:sz w:val="24"/>
              </w:rPr>
            </w:pPr>
          </w:p>
        </w:tc>
      </w:tr>
      <w:tr w:rsidR="00AF3173" w:rsidTr="00FB0846">
        <w:tc>
          <w:tcPr>
            <w:tcW w:w="3235" w:type="dxa"/>
          </w:tcPr>
          <w:p w:rsidR="00AF3173" w:rsidRPr="00FB0846" w:rsidRDefault="00FB0846" w:rsidP="001E7633">
            <w:pPr>
              <w:jc w:val="both"/>
              <w:rPr>
                <w:b/>
                <w:sz w:val="24"/>
              </w:rPr>
            </w:pPr>
            <w:r w:rsidRPr="00FB0846">
              <w:rPr>
                <w:b/>
                <w:sz w:val="24"/>
              </w:rPr>
              <w:t>Project Term</w:t>
            </w:r>
          </w:p>
        </w:tc>
        <w:tc>
          <w:tcPr>
            <w:tcW w:w="6390" w:type="dxa"/>
          </w:tcPr>
          <w:p w:rsidR="00AF3173" w:rsidRDefault="00527708" w:rsidP="00527708">
            <w:pPr>
              <w:jc w:val="both"/>
              <w:rPr>
                <w:sz w:val="24"/>
              </w:rPr>
            </w:pPr>
            <w:r>
              <w:rPr>
                <w:sz w:val="24"/>
              </w:rPr>
              <w:t>Unless pre-terminated</w:t>
            </w:r>
            <w:r w:rsidR="00DA77EE">
              <w:rPr>
                <w:sz w:val="24"/>
              </w:rPr>
              <w:t xml:space="preserve"> or extended by mutual consent of the parties</w:t>
            </w:r>
            <w:r>
              <w:rPr>
                <w:sz w:val="24"/>
              </w:rPr>
              <w:t xml:space="preserve">, the project shall be completed on or before </w:t>
            </w:r>
            <w:r w:rsidRPr="00FA016B">
              <w:rPr>
                <w:sz w:val="24"/>
                <w:highlight w:val="yellow"/>
              </w:rPr>
              <w:t>____________________</w:t>
            </w:r>
            <w:r>
              <w:rPr>
                <w:sz w:val="24"/>
              </w:rPr>
              <w:t>.</w:t>
            </w:r>
          </w:p>
        </w:tc>
      </w:tr>
      <w:tr w:rsidR="00FB0846" w:rsidTr="00FB0846">
        <w:tc>
          <w:tcPr>
            <w:tcW w:w="3235" w:type="dxa"/>
          </w:tcPr>
          <w:p w:rsidR="00FB0846" w:rsidRPr="00FB0846" w:rsidRDefault="00FB0846" w:rsidP="001E7633">
            <w:pPr>
              <w:jc w:val="both"/>
              <w:rPr>
                <w:b/>
                <w:sz w:val="24"/>
              </w:rPr>
            </w:pPr>
            <w:r w:rsidRPr="00FB0846">
              <w:rPr>
                <w:b/>
                <w:sz w:val="24"/>
              </w:rPr>
              <w:t>Technical Working Group</w:t>
            </w:r>
          </w:p>
        </w:tc>
        <w:tc>
          <w:tcPr>
            <w:tcW w:w="6390" w:type="dxa"/>
          </w:tcPr>
          <w:p w:rsidR="00FB0846" w:rsidRDefault="00E8682F" w:rsidP="0084129B">
            <w:pPr>
              <w:jc w:val="both"/>
              <w:rPr>
                <w:sz w:val="24"/>
              </w:rPr>
            </w:pPr>
            <w:r>
              <w:rPr>
                <w:sz w:val="24"/>
              </w:rPr>
              <w:t>The parties shall form a Technical Working Group</w:t>
            </w:r>
            <w:r w:rsidR="00632E35">
              <w:rPr>
                <w:sz w:val="24"/>
              </w:rPr>
              <w:t xml:space="preserve"> composed of at least four (4) persons, each party being represented by two members, who </w:t>
            </w:r>
            <w:r>
              <w:rPr>
                <w:sz w:val="24"/>
              </w:rPr>
              <w:t>shall identify</w:t>
            </w:r>
            <w:r w:rsidR="00632E35">
              <w:rPr>
                <w:sz w:val="24"/>
              </w:rPr>
              <w:t xml:space="preserve"> the specific features, functionalities, applications, bill of materials, and any other deliverables of RAMESES</w:t>
            </w:r>
            <w:r w:rsidR="0084129B">
              <w:rPr>
                <w:sz w:val="24"/>
              </w:rPr>
              <w:t xml:space="preserve"> and CLFC</w:t>
            </w:r>
            <w:r w:rsidR="00632E35">
              <w:rPr>
                <w:sz w:val="24"/>
              </w:rPr>
              <w:t xml:space="preserve">; set benchmarks and schedule of </w:t>
            </w:r>
            <w:r w:rsidR="00027F0A">
              <w:rPr>
                <w:sz w:val="24"/>
              </w:rPr>
              <w:t xml:space="preserve">testing and deployment; </w:t>
            </w:r>
            <w:r w:rsidR="00632E35">
              <w:rPr>
                <w:sz w:val="24"/>
              </w:rPr>
              <w:t>review</w:t>
            </w:r>
            <w:r w:rsidR="00027F0A">
              <w:rPr>
                <w:sz w:val="24"/>
              </w:rPr>
              <w:t>, recommend,</w:t>
            </w:r>
            <w:r w:rsidR="00632E35">
              <w:rPr>
                <w:sz w:val="24"/>
              </w:rPr>
              <w:t xml:space="preserve"> </w:t>
            </w:r>
            <w:r w:rsidR="00527708">
              <w:rPr>
                <w:sz w:val="24"/>
              </w:rPr>
              <w:t xml:space="preserve">endorse, </w:t>
            </w:r>
            <w:r w:rsidR="00632E35">
              <w:rPr>
                <w:sz w:val="24"/>
              </w:rPr>
              <w:t>and</w:t>
            </w:r>
            <w:r w:rsidR="00027F0A">
              <w:rPr>
                <w:sz w:val="24"/>
              </w:rPr>
              <w:t>/or</w:t>
            </w:r>
            <w:r w:rsidR="00632E35">
              <w:rPr>
                <w:sz w:val="24"/>
              </w:rPr>
              <w:t xml:space="preserve"> </w:t>
            </w:r>
            <w:r w:rsidR="00527708">
              <w:rPr>
                <w:sz w:val="24"/>
              </w:rPr>
              <w:t xml:space="preserve">sign-off on </w:t>
            </w:r>
            <w:r w:rsidR="00632E35">
              <w:rPr>
                <w:sz w:val="24"/>
              </w:rPr>
              <w:t xml:space="preserve">changes to previously approved </w:t>
            </w:r>
            <w:r w:rsidR="00027F0A">
              <w:rPr>
                <w:sz w:val="24"/>
              </w:rPr>
              <w:t xml:space="preserve">plans; and generally drive and manage the project. </w:t>
            </w:r>
            <w:r w:rsidR="00527708">
              <w:rPr>
                <w:sz w:val="24"/>
              </w:rPr>
              <w:t xml:space="preserve">No </w:t>
            </w:r>
            <w:r w:rsidR="00027F0A">
              <w:rPr>
                <w:sz w:val="24"/>
              </w:rPr>
              <w:t>additions or revisions to existing plans shall be implemented</w:t>
            </w:r>
            <w:r w:rsidR="00527708">
              <w:rPr>
                <w:sz w:val="24"/>
              </w:rPr>
              <w:t xml:space="preserve"> unless approved by the Technical Working Group.</w:t>
            </w:r>
            <w:r w:rsidR="0084129B">
              <w:rPr>
                <w:sz w:val="24"/>
              </w:rPr>
              <w:t xml:space="preserve">  Each party must appoint a technical point-person, who shall be automatic members of the Technical Working Group.</w:t>
            </w:r>
          </w:p>
        </w:tc>
      </w:tr>
      <w:tr w:rsidR="00AF3173" w:rsidTr="00FB0846">
        <w:tc>
          <w:tcPr>
            <w:tcW w:w="3235" w:type="dxa"/>
          </w:tcPr>
          <w:p w:rsidR="00AF3173" w:rsidRPr="00FB0846" w:rsidRDefault="00FB0846" w:rsidP="001E7633">
            <w:pPr>
              <w:jc w:val="both"/>
              <w:rPr>
                <w:b/>
                <w:sz w:val="24"/>
              </w:rPr>
            </w:pPr>
            <w:r w:rsidRPr="00FB0846">
              <w:rPr>
                <w:b/>
                <w:sz w:val="24"/>
              </w:rPr>
              <w:t>Deliverables</w:t>
            </w:r>
          </w:p>
        </w:tc>
        <w:tc>
          <w:tcPr>
            <w:tcW w:w="6390" w:type="dxa"/>
          </w:tcPr>
          <w:p w:rsidR="00AF3173" w:rsidRDefault="00FA016B" w:rsidP="001E7633">
            <w:pPr>
              <w:jc w:val="both"/>
              <w:rPr>
                <w:sz w:val="24"/>
              </w:rPr>
            </w:pPr>
            <w:r>
              <w:rPr>
                <w:sz w:val="24"/>
              </w:rPr>
              <w:t xml:space="preserve">RAMESES shall design and deliver </w:t>
            </w:r>
            <w:r w:rsidR="00527708">
              <w:rPr>
                <w:sz w:val="24"/>
              </w:rPr>
              <w:t>four main modules, to wit:</w:t>
            </w:r>
          </w:p>
          <w:p w:rsidR="00527708" w:rsidRDefault="00527708" w:rsidP="001E7633">
            <w:pPr>
              <w:jc w:val="both"/>
              <w:rPr>
                <w:sz w:val="24"/>
              </w:rPr>
            </w:pPr>
          </w:p>
          <w:p w:rsidR="0084129B" w:rsidRPr="0084129B" w:rsidRDefault="00FA016B" w:rsidP="0084129B">
            <w:pPr>
              <w:pStyle w:val="ListParagraph"/>
              <w:numPr>
                <w:ilvl w:val="0"/>
                <w:numId w:val="1"/>
              </w:numPr>
              <w:jc w:val="both"/>
              <w:rPr>
                <w:sz w:val="24"/>
              </w:rPr>
            </w:pPr>
            <w:r>
              <w:rPr>
                <w:sz w:val="24"/>
              </w:rPr>
              <w:t>Data entry and m</w:t>
            </w:r>
            <w:r w:rsidR="0084129B">
              <w:rPr>
                <w:sz w:val="24"/>
              </w:rPr>
              <w:t>igration (manual records to electronic database)</w:t>
            </w:r>
          </w:p>
          <w:p w:rsidR="00527708" w:rsidRDefault="00527708" w:rsidP="00527708">
            <w:pPr>
              <w:pStyle w:val="ListParagraph"/>
              <w:numPr>
                <w:ilvl w:val="0"/>
                <w:numId w:val="1"/>
              </w:numPr>
              <w:jc w:val="both"/>
              <w:rPr>
                <w:sz w:val="24"/>
              </w:rPr>
            </w:pPr>
            <w:r>
              <w:rPr>
                <w:sz w:val="24"/>
              </w:rPr>
              <w:t>Collection System</w:t>
            </w:r>
          </w:p>
          <w:p w:rsidR="0084129B" w:rsidRDefault="0084129B" w:rsidP="0084129B">
            <w:pPr>
              <w:pStyle w:val="ListParagraph"/>
              <w:numPr>
                <w:ilvl w:val="1"/>
                <w:numId w:val="1"/>
              </w:numPr>
              <w:jc w:val="both"/>
              <w:rPr>
                <w:sz w:val="24"/>
              </w:rPr>
            </w:pPr>
            <w:r>
              <w:rPr>
                <w:sz w:val="24"/>
              </w:rPr>
              <w:t>Mobile recording and monitoring</w:t>
            </w:r>
          </w:p>
          <w:p w:rsidR="0084129B" w:rsidRPr="0084129B" w:rsidRDefault="0084129B" w:rsidP="0084129B">
            <w:pPr>
              <w:pStyle w:val="ListParagraph"/>
              <w:numPr>
                <w:ilvl w:val="1"/>
                <w:numId w:val="1"/>
              </w:numPr>
              <w:jc w:val="both"/>
              <w:rPr>
                <w:sz w:val="24"/>
              </w:rPr>
            </w:pPr>
            <w:r>
              <w:rPr>
                <w:sz w:val="24"/>
              </w:rPr>
              <w:t>App to account for a</w:t>
            </w:r>
            <w:r>
              <w:rPr>
                <w:sz w:val="24"/>
              </w:rPr>
              <w:t xml:space="preserve">mnesty and </w:t>
            </w:r>
            <w:r>
              <w:rPr>
                <w:sz w:val="24"/>
              </w:rPr>
              <w:t>c</w:t>
            </w:r>
            <w:r>
              <w:rPr>
                <w:sz w:val="24"/>
              </w:rPr>
              <w:t>ompromise</w:t>
            </w:r>
            <w:r>
              <w:rPr>
                <w:sz w:val="24"/>
              </w:rPr>
              <w:t xml:space="preserve"> agreements</w:t>
            </w:r>
          </w:p>
          <w:p w:rsidR="0084129B" w:rsidRDefault="0084129B" w:rsidP="0084129B">
            <w:pPr>
              <w:pStyle w:val="ListParagraph"/>
              <w:numPr>
                <w:ilvl w:val="0"/>
                <w:numId w:val="1"/>
              </w:numPr>
              <w:jc w:val="both"/>
              <w:rPr>
                <w:sz w:val="24"/>
              </w:rPr>
            </w:pPr>
            <w:r>
              <w:rPr>
                <w:sz w:val="24"/>
              </w:rPr>
              <w:t>Loan Application</w:t>
            </w:r>
          </w:p>
          <w:p w:rsidR="0084129B" w:rsidRDefault="0084129B" w:rsidP="0084129B">
            <w:pPr>
              <w:pStyle w:val="ListParagraph"/>
              <w:numPr>
                <w:ilvl w:val="1"/>
                <w:numId w:val="1"/>
              </w:numPr>
              <w:jc w:val="both"/>
              <w:rPr>
                <w:sz w:val="24"/>
              </w:rPr>
            </w:pPr>
            <w:r>
              <w:rPr>
                <w:sz w:val="24"/>
              </w:rPr>
              <w:t>New</w:t>
            </w:r>
          </w:p>
          <w:p w:rsidR="00527708" w:rsidRDefault="0084129B" w:rsidP="0084129B">
            <w:pPr>
              <w:pStyle w:val="ListParagraph"/>
              <w:numPr>
                <w:ilvl w:val="1"/>
                <w:numId w:val="1"/>
              </w:numPr>
              <w:jc w:val="both"/>
              <w:rPr>
                <w:sz w:val="24"/>
              </w:rPr>
            </w:pPr>
            <w:r>
              <w:rPr>
                <w:sz w:val="24"/>
              </w:rPr>
              <w:t>Renewal</w:t>
            </w:r>
          </w:p>
          <w:p w:rsidR="00527708" w:rsidRPr="00527708" w:rsidRDefault="00527708" w:rsidP="00464D62">
            <w:pPr>
              <w:pStyle w:val="ListParagraph"/>
              <w:numPr>
                <w:ilvl w:val="0"/>
                <w:numId w:val="1"/>
              </w:numPr>
              <w:jc w:val="both"/>
              <w:rPr>
                <w:sz w:val="24"/>
              </w:rPr>
            </w:pPr>
            <w:r w:rsidRPr="00527708">
              <w:rPr>
                <w:sz w:val="24"/>
              </w:rPr>
              <w:t>______________</w:t>
            </w:r>
          </w:p>
          <w:p w:rsidR="00527708" w:rsidRPr="00DA77EE" w:rsidRDefault="00DA77EE" w:rsidP="00FA016B">
            <w:pPr>
              <w:jc w:val="both"/>
              <w:rPr>
                <w:i/>
                <w:sz w:val="24"/>
              </w:rPr>
            </w:pPr>
            <w:r w:rsidRPr="00DA77EE">
              <w:rPr>
                <w:i/>
                <w:color w:val="FF0000"/>
                <w:sz w:val="24"/>
              </w:rPr>
              <w:t>NOTE:</w:t>
            </w:r>
            <w:r>
              <w:rPr>
                <w:i/>
                <w:color w:val="FF0000"/>
                <w:sz w:val="24"/>
              </w:rPr>
              <w:t xml:space="preserve"> Please enumerate the modules and its major sub-parts.</w:t>
            </w:r>
          </w:p>
        </w:tc>
      </w:tr>
      <w:tr w:rsidR="00527708" w:rsidTr="00FB0846">
        <w:tc>
          <w:tcPr>
            <w:tcW w:w="3235" w:type="dxa"/>
          </w:tcPr>
          <w:p w:rsidR="00527708" w:rsidRPr="00FB0846" w:rsidRDefault="00527708" w:rsidP="001E7633">
            <w:pPr>
              <w:jc w:val="both"/>
              <w:rPr>
                <w:b/>
                <w:sz w:val="24"/>
              </w:rPr>
            </w:pPr>
            <w:r>
              <w:rPr>
                <w:b/>
                <w:sz w:val="24"/>
              </w:rPr>
              <w:t>Hardware Requirements</w:t>
            </w:r>
          </w:p>
        </w:tc>
        <w:tc>
          <w:tcPr>
            <w:tcW w:w="6390" w:type="dxa"/>
          </w:tcPr>
          <w:p w:rsidR="00527708" w:rsidRDefault="00527708" w:rsidP="00FA016B">
            <w:pPr>
              <w:jc w:val="both"/>
              <w:rPr>
                <w:sz w:val="24"/>
              </w:rPr>
            </w:pPr>
            <w:r w:rsidRPr="00527708">
              <w:rPr>
                <w:sz w:val="24"/>
              </w:rPr>
              <w:t xml:space="preserve">Two servers (master/slave) </w:t>
            </w:r>
            <w:r>
              <w:rPr>
                <w:sz w:val="24"/>
              </w:rPr>
              <w:t xml:space="preserve">with </w:t>
            </w:r>
            <w:r w:rsidRPr="00527708">
              <w:rPr>
                <w:sz w:val="24"/>
              </w:rPr>
              <w:t xml:space="preserve">minimum </w:t>
            </w:r>
            <w:r>
              <w:rPr>
                <w:sz w:val="24"/>
              </w:rPr>
              <w:t>2GB RAM, 500GB hard-disk for storage</w:t>
            </w:r>
            <w:r w:rsidRPr="00527708">
              <w:rPr>
                <w:sz w:val="24"/>
              </w:rPr>
              <w:t xml:space="preserve">, Linux OS system, </w:t>
            </w:r>
            <w:r>
              <w:rPr>
                <w:sz w:val="24"/>
              </w:rPr>
              <w:t xml:space="preserve">and </w:t>
            </w:r>
            <w:r w:rsidRPr="00527708">
              <w:rPr>
                <w:sz w:val="24"/>
              </w:rPr>
              <w:t>MySQL database</w:t>
            </w:r>
            <w:r>
              <w:rPr>
                <w:sz w:val="24"/>
              </w:rPr>
              <w:t>.</w:t>
            </w:r>
            <w:r w:rsidR="00FA016B">
              <w:rPr>
                <w:sz w:val="24"/>
              </w:rPr>
              <w:t xml:space="preserve"> All hardware requirements shall be for the account of CLFC.</w:t>
            </w:r>
          </w:p>
        </w:tc>
      </w:tr>
      <w:tr w:rsidR="00AF3173" w:rsidTr="00FB0846">
        <w:tc>
          <w:tcPr>
            <w:tcW w:w="3235" w:type="dxa"/>
          </w:tcPr>
          <w:p w:rsidR="00AF3173" w:rsidRPr="00FB0846" w:rsidRDefault="00FB0846" w:rsidP="001E7633">
            <w:pPr>
              <w:jc w:val="both"/>
              <w:rPr>
                <w:b/>
                <w:sz w:val="24"/>
              </w:rPr>
            </w:pPr>
            <w:r w:rsidRPr="00FB0846">
              <w:rPr>
                <w:b/>
                <w:sz w:val="24"/>
              </w:rPr>
              <w:t>Implementation</w:t>
            </w:r>
          </w:p>
        </w:tc>
        <w:tc>
          <w:tcPr>
            <w:tcW w:w="6390" w:type="dxa"/>
          </w:tcPr>
          <w:p w:rsidR="00AF3173" w:rsidRDefault="0084129B" w:rsidP="0084129B">
            <w:pPr>
              <w:jc w:val="both"/>
              <w:rPr>
                <w:sz w:val="24"/>
              </w:rPr>
            </w:pPr>
            <w:r>
              <w:rPr>
                <w:sz w:val="24"/>
              </w:rPr>
              <w:t>Except where a specific deliverable requires a different deployment protocol, no module or any part thereof shall be deployed unless the following steps are</w:t>
            </w:r>
            <w:r w:rsidR="00CB4FAF">
              <w:rPr>
                <w:sz w:val="24"/>
              </w:rPr>
              <w:t xml:space="preserve"> observed:</w:t>
            </w:r>
          </w:p>
          <w:p w:rsidR="00CB4FAF" w:rsidRDefault="00CB4FAF" w:rsidP="0084129B">
            <w:pPr>
              <w:jc w:val="both"/>
              <w:rPr>
                <w:sz w:val="24"/>
              </w:rPr>
            </w:pPr>
          </w:p>
          <w:p w:rsidR="00CB4FAF" w:rsidRDefault="00CB4FAF" w:rsidP="00CB4FAF">
            <w:pPr>
              <w:pStyle w:val="ListParagraph"/>
              <w:numPr>
                <w:ilvl w:val="0"/>
                <w:numId w:val="2"/>
              </w:numPr>
              <w:jc w:val="both"/>
              <w:rPr>
                <w:sz w:val="24"/>
              </w:rPr>
            </w:pPr>
            <w:r>
              <w:rPr>
                <w:sz w:val="24"/>
              </w:rPr>
              <w:lastRenderedPageBreak/>
              <w:t>Deployment and stress testing at pilot site (preferably a period of one week)</w:t>
            </w:r>
          </w:p>
          <w:p w:rsidR="00CB4FAF" w:rsidRDefault="00CB4FAF" w:rsidP="00CB4FAF">
            <w:pPr>
              <w:pStyle w:val="ListParagraph"/>
              <w:numPr>
                <w:ilvl w:val="0"/>
                <w:numId w:val="2"/>
              </w:numPr>
              <w:jc w:val="both"/>
              <w:rPr>
                <w:sz w:val="24"/>
              </w:rPr>
            </w:pPr>
            <w:r>
              <w:rPr>
                <w:sz w:val="24"/>
              </w:rPr>
              <w:t>Monitoring (one week)</w:t>
            </w:r>
          </w:p>
          <w:p w:rsidR="00CB4FAF" w:rsidRDefault="00CB4FAF" w:rsidP="00CB4FAF">
            <w:pPr>
              <w:pStyle w:val="ListParagraph"/>
              <w:numPr>
                <w:ilvl w:val="0"/>
                <w:numId w:val="2"/>
              </w:numPr>
              <w:jc w:val="both"/>
              <w:rPr>
                <w:sz w:val="24"/>
              </w:rPr>
            </w:pPr>
            <w:r>
              <w:rPr>
                <w:sz w:val="24"/>
              </w:rPr>
              <w:t>User acceptance and sign-off by CLFC</w:t>
            </w:r>
            <w:r w:rsidR="00FA016B">
              <w:rPr>
                <w:sz w:val="24"/>
              </w:rPr>
              <w:t xml:space="preserve"> (within 5 days from receipt of monitoring report)</w:t>
            </w:r>
          </w:p>
          <w:p w:rsidR="00CB4FAF" w:rsidRDefault="00CB4FAF" w:rsidP="00CB4FAF">
            <w:pPr>
              <w:pStyle w:val="ListParagraph"/>
              <w:numPr>
                <w:ilvl w:val="0"/>
                <w:numId w:val="2"/>
              </w:numPr>
              <w:jc w:val="both"/>
              <w:rPr>
                <w:sz w:val="24"/>
              </w:rPr>
            </w:pPr>
            <w:r>
              <w:rPr>
                <w:sz w:val="24"/>
              </w:rPr>
              <w:t xml:space="preserve">Deployment and installation </w:t>
            </w:r>
            <w:r w:rsidR="00FA016B">
              <w:rPr>
                <w:sz w:val="24"/>
              </w:rPr>
              <w:t xml:space="preserve">in </w:t>
            </w:r>
            <w:r>
              <w:rPr>
                <w:sz w:val="24"/>
              </w:rPr>
              <w:t>all branches</w:t>
            </w:r>
            <w:r w:rsidR="00FA016B">
              <w:rPr>
                <w:sz w:val="24"/>
              </w:rPr>
              <w:t xml:space="preserve"> (1-2 weeks)</w:t>
            </w:r>
          </w:p>
          <w:p w:rsidR="00337FF3" w:rsidRPr="00CB4FAF" w:rsidRDefault="00FA016B" w:rsidP="00FA016B">
            <w:pPr>
              <w:pStyle w:val="ListParagraph"/>
              <w:numPr>
                <w:ilvl w:val="0"/>
                <w:numId w:val="2"/>
              </w:numPr>
              <w:jc w:val="both"/>
              <w:rPr>
                <w:sz w:val="24"/>
              </w:rPr>
            </w:pPr>
            <w:r>
              <w:rPr>
                <w:sz w:val="24"/>
              </w:rPr>
              <w:t>Hardware/software m</w:t>
            </w:r>
            <w:r w:rsidR="00337FF3">
              <w:rPr>
                <w:sz w:val="24"/>
              </w:rPr>
              <w:t xml:space="preserve">aintenance </w:t>
            </w:r>
            <w:r>
              <w:rPr>
                <w:sz w:val="24"/>
              </w:rPr>
              <w:t xml:space="preserve">(subject to agreed </w:t>
            </w:r>
            <w:r w:rsidR="00337FF3">
              <w:rPr>
                <w:sz w:val="24"/>
              </w:rPr>
              <w:t>warranty period</w:t>
            </w:r>
            <w:r>
              <w:rPr>
                <w:sz w:val="24"/>
              </w:rPr>
              <w:t>)</w:t>
            </w:r>
            <w:bookmarkStart w:id="0" w:name="_GoBack"/>
            <w:bookmarkEnd w:id="0"/>
          </w:p>
        </w:tc>
      </w:tr>
      <w:tr w:rsidR="00337FF3" w:rsidTr="00FB0846">
        <w:tc>
          <w:tcPr>
            <w:tcW w:w="3235" w:type="dxa"/>
          </w:tcPr>
          <w:p w:rsidR="00337FF3" w:rsidRPr="00FB0846" w:rsidRDefault="00337FF3" w:rsidP="001E7633">
            <w:pPr>
              <w:jc w:val="both"/>
              <w:rPr>
                <w:b/>
                <w:sz w:val="24"/>
              </w:rPr>
            </w:pPr>
            <w:r>
              <w:rPr>
                <w:b/>
                <w:sz w:val="24"/>
              </w:rPr>
              <w:lastRenderedPageBreak/>
              <w:t>Warranty Period</w:t>
            </w:r>
          </w:p>
        </w:tc>
        <w:tc>
          <w:tcPr>
            <w:tcW w:w="6390" w:type="dxa"/>
          </w:tcPr>
          <w:p w:rsidR="00337FF3" w:rsidRPr="00337FF3" w:rsidRDefault="00337FF3" w:rsidP="00AB5AE4">
            <w:pPr>
              <w:jc w:val="both"/>
              <w:rPr>
                <w:i/>
                <w:sz w:val="24"/>
              </w:rPr>
            </w:pPr>
            <w:r w:rsidRPr="00337FF3">
              <w:rPr>
                <w:i/>
                <w:color w:val="FF0000"/>
                <w:sz w:val="24"/>
              </w:rPr>
              <w:t>To be determined by the parties.</w:t>
            </w:r>
          </w:p>
        </w:tc>
      </w:tr>
      <w:tr w:rsidR="00AF3173" w:rsidTr="00FB0846">
        <w:tc>
          <w:tcPr>
            <w:tcW w:w="3235" w:type="dxa"/>
          </w:tcPr>
          <w:p w:rsidR="00AF3173" w:rsidRPr="00FB0846" w:rsidRDefault="00FB0846" w:rsidP="001E7633">
            <w:pPr>
              <w:jc w:val="both"/>
              <w:rPr>
                <w:b/>
                <w:sz w:val="24"/>
              </w:rPr>
            </w:pPr>
            <w:r w:rsidRPr="00FB0846">
              <w:rPr>
                <w:b/>
                <w:sz w:val="24"/>
              </w:rPr>
              <w:t>Revisions</w:t>
            </w:r>
          </w:p>
        </w:tc>
        <w:tc>
          <w:tcPr>
            <w:tcW w:w="6390" w:type="dxa"/>
          </w:tcPr>
          <w:p w:rsidR="00AF3173" w:rsidRDefault="00AB5AE4" w:rsidP="00AB5AE4">
            <w:pPr>
              <w:jc w:val="both"/>
              <w:rPr>
                <w:sz w:val="24"/>
              </w:rPr>
            </w:pPr>
            <w:r>
              <w:rPr>
                <w:sz w:val="24"/>
              </w:rPr>
              <w:t xml:space="preserve">Any revision(s) to approved plans, designs, features, or schedule of testing and/or deployment must have prior approval of the Technical Working Group. </w:t>
            </w:r>
          </w:p>
        </w:tc>
      </w:tr>
      <w:tr w:rsidR="00AF3173" w:rsidTr="00FB0846">
        <w:tc>
          <w:tcPr>
            <w:tcW w:w="3235" w:type="dxa"/>
          </w:tcPr>
          <w:p w:rsidR="00AF3173" w:rsidRPr="00FB0846" w:rsidRDefault="00FB0846" w:rsidP="001E7633">
            <w:pPr>
              <w:jc w:val="both"/>
              <w:rPr>
                <w:b/>
                <w:sz w:val="24"/>
              </w:rPr>
            </w:pPr>
            <w:r w:rsidRPr="00FB0846">
              <w:rPr>
                <w:b/>
                <w:sz w:val="24"/>
              </w:rPr>
              <w:t>Confidentiality</w:t>
            </w:r>
          </w:p>
        </w:tc>
        <w:tc>
          <w:tcPr>
            <w:tcW w:w="6390" w:type="dxa"/>
          </w:tcPr>
          <w:p w:rsidR="00AF3173" w:rsidRDefault="00737776" w:rsidP="001E7633">
            <w:pPr>
              <w:jc w:val="both"/>
              <w:rPr>
                <w:sz w:val="24"/>
              </w:rPr>
            </w:pPr>
            <w:r w:rsidRPr="00737776">
              <w:rPr>
                <w:sz w:val="24"/>
              </w:rPr>
              <w:t>Except as otherwise expressly agreed upon by the parties, RAMESES shall hold in confidence and not disclose (including without limitation distribute, transmit or transfer) or use for any purpose, any "Confidential" and "Proprietary" or any portion thereof marked as such by CLFC. For its part, CLFC shall not reverse engineer, disassemble or decompile any of the program, library, application, software or other tangible objects as may be provided by RAMESES to CLFC pursuant to this engagement.</w:t>
            </w:r>
          </w:p>
        </w:tc>
      </w:tr>
      <w:tr w:rsidR="00AF3173" w:rsidTr="00FB0846">
        <w:tc>
          <w:tcPr>
            <w:tcW w:w="3235" w:type="dxa"/>
          </w:tcPr>
          <w:p w:rsidR="00AF3173" w:rsidRPr="00FB0846" w:rsidRDefault="00FB0846" w:rsidP="00FB0846">
            <w:pPr>
              <w:rPr>
                <w:b/>
                <w:sz w:val="24"/>
              </w:rPr>
            </w:pPr>
            <w:r w:rsidRPr="00FB0846">
              <w:rPr>
                <w:b/>
                <w:sz w:val="24"/>
              </w:rPr>
              <w:t>No Employer-Employee Relationship</w:t>
            </w:r>
          </w:p>
        </w:tc>
        <w:tc>
          <w:tcPr>
            <w:tcW w:w="6390" w:type="dxa"/>
          </w:tcPr>
          <w:p w:rsidR="00AF3173" w:rsidRDefault="00737776" w:rsidP="001E7633">
            <w:pPr>
              <w:jc w:val="both"/>
              <w:rPr>
                <w:sz w:val="24"/>
              </w:rPr>
            </w:pPr>
            <w:r w:rsidRPr="00737776">
              <w:rPr>
                <w:sz w:val="24"/>
              </w:rPr>
              <w:t>RAMESES, its employees, contracted workers, or any other person it might hire to complete this engagement are not the employees of the CLFC and therefore not entitled to any benefits that CLFC is or might be required to extend under the Labor Code of the Philippines or any other legislation to regular employees.</w:t>
            </w:r>
          </w:p>
        </w:tc>
      </w:tr>
      <w:tr w:rsidR="00FB0846" w:rsidTr="00FB0846">
        <w:tc>
          <w:tcPr>
            <w:tcW w:w="3235" w:type="dxa"/>
          </w:tcPr>
          <w:p w:rsidR="00FB0846" w:rsidRPr="00FB0846" w:rsidRDefault="00FB0846" w:rsidP="00FB0846">
            <w:pPr>
              <w:rPr>
                <w:b/>
                <w:sz w:val="24"/>
              </w:rPr>
            </w:pPr>
            <w:r>
              <w:rPr>
                <w:b/>
                <w:sz w:val="24"/>
              </w:rPr>
              <w:t>Dispute Resolution</w:t>
            </w:r>
          </w:p>
        </w:tc>
        <w:tc>
          <w:tcPr>
            <w:tcW w:w="6390" w:type="dxa"/>
          </w:tcPr>
          <w:p w:rsidR="00FB0846" w:rsidRDefault="000A5998" w:rsidP="000A5998">
            <w:pPr>
              <w:jc w:val="both"/>
              <w:rPr>
                <w:sz w:val="24"/>
              </w:rPr>
            </w:pPr>
            <w:r w:rsidRPr="000A5998">
              <w:rPr>
                <w:sz w:val="24"/>
              </w:rPr>
              <w:t xml:space="preserve">All disputes arising out of or relating to </w:t>
            </w:r>
            <w:r>
              <w:rPr>
                <w:sz w:val="24"/>
              </w:rPr>
              <w:t xml:space="preserve">this engagement </w:t>
            </w:r>
            <w:r w:rsidRPr="000A5998">
              <w:rPr>
                <w:sz w:val="24"/>
              </w:rPr>
              <w:t xml:space="preserve">shall be finally settled by arbitration conducted in Cebu City, Philippines, in accordance with the Philippine Arbitration Law (Republic Act No. 876), by a Board of Arbitrators composed of three members. Each party shall nominate one member and the third member shall be selected by the two members nominated by the Parties. The Parties shall bear equally the cost of the arbitration (exclusive of legal fees and expenses, all of which each party shall bear separately). The decision of the Board of Arbitrators shall be final and binding on both Parties and enforceable in any court of competent jurisdiction. Notwithstanding the foregoing, in the event of breach by a party of its obligations, the non-breaching party may seek injunctive relief in any court of competent jurisdiction located in Cebu City, Philippines, and the Parties hereby consent to the jurisdiction and venue of such court. The prevailing party in any action to enforce any of the </w:t>
            </w:r>
            <w:r w:rsidRPr="000A5998">
              <w:rPr>
                <w:sz w:val="24"/>
              </w:rPr>
              <w:lastRenderedPageBreak/>
              <w:t xml:space="preserve">terms of </w:t>
            </w:r>
            <w:r>
              <w:rPr>
                <w:sz w:val="24"/>
              </w:rPr>
              <w:t>this engagement</w:t>
            </w:r>
            <w:r w:rsidRPr="000A5998">
              <w:rPr>
                <w:sz w:val="24"/>
              </w:rPr>
              <w:t xml:space="preserve"> shall be entitled to recover reasonable attorney’s fees, which in no case shall be less than ten percent (10%) of the amount involved, on top of costs and expenses of litigation and damages, whether actual or consequential, to which the prevailing party may be entitled under law.</w:t>
            </w:r>
          </w:p>
        </w:tc>
      </w:tr>
    </w:tbl>
    <w:p w:rsidR="00AF3173" w:rsidRDefault="00AF3173" w:rsidP="001E7633">
      <w:pPr>
        <w:jc w:val="both"/>
        <w:rPr>
          <w:sz w:val="24"/>
        </w:rPr>
      </w:pPr>
    </w:p>
    <w:p w:rsidR="00AF3173" w:rsidRPr="001E7633" w:rsidRDefault="00AF3173" w:rsidP="001E7633">
      <w:pPr>
        <w:jc w:val="both"/>
        <w:rPr>
          <w:sz w:val="24"/>
        </w:rPr>
      </w:pPr>
    </w:p>
    <w:sectPr w:rsidR="00AF3173" w:rsidRPr="001E7633" w:rsidSect="00AF3173">
      <w:footerReference w:type="default" r:id="rId7"/>
      <w:pgSz w:w="12240" w:h="15840"/>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774" w:rsidRDefault="00C71774" w:rsidP="00737776">
      <w:r>
        <w:separator/>
      </w:r>
    </w:p>
  </w:endnote>
  <w:endnote w:type="continuationSeparator" w:id="0">
    <w:p w:rsidR="00C71774" w:rsidRDefault="00C71774" w:rsidP="00737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776" w:rsidRPr="00737776" w:rsidRDefault="00737776" w:rsidP="00737776">
    <w:pPr>
      <w:pStyle w:val="Footer"/>
      <w:tabs>
        <w:tab w:val="left" w:pos="5640"/>
      </w:tabs>
      <w:rPr>
        <w:sz w:val="20"/>
      </w:rPr>
    </w:pPr>
    <w:r>
      <w:rPr>
        <w:sz w:val="20"/>
      </w:rPr>
      <w:tab/>
    </w:r>
    <w:sdt>
      <w:sdtPr>
        <w:rPr>
          <w:sz w:val="20"/>
        </w:rPr>
        <w:id w:val="-1828129324"/>
        <w:docPartObj>
          <w:docPartGallery w:val="Page Numbers (Bottom of Page)"/>
          <w:docPartUnique/>
        </w:docPartObj>
      </w:sdtPr>
      <w:sdtContent>
        <w:sdt>
          <w:sdtPr>
            <w:rPr>
              <w:sz w:val="20"/>
            </w:rPr>
            <w:id w:val="1728636285"/>
            <w:docPartObj>
              <w:docPartGallery w:val="Page Numbers (Top of Page)"/>
              <w:docPartUnique/>
            </w:docPartObj>
          </w:sdtPr>
          <w:sdtContent>
            <w:r w:rsidRPr="00737776">
              <w:rPr>
                <w:sz w:val="20"/>
              </w:rPr>
              <w:t xml:space="preserve">Page </w:t>
            </w:r>
            <w:r w:rsidRPr="00737776">
              <w:rPr>
                <w:b/>
                <w:bCs/>
                <w:szCs w:val="24"/>
              </w:rPr>
              <w:fldChar w:fldCharType="begin"/>
            </w:r>
            <w:r w:rsidRPr="00737776">
              <w:rPr>
                <w:b/>
                <w:bCs/>
                <w:sz w:val="20"/>
              </w:rPr>
              <w:instrText xml:space="preserve"> PAGE </w:instrText>
            </w:r>
            <w:r w:rsidRPr="00737776">
              <w:rPr>
                <w:b/>
                <w:bCs/>
                <w:szCs w:val="24"/>
              </w:rPr>
              <w:fldChar w:fldCharType="separate"/>
            </w:r>
            <w:r w:rsidR="00FA016B">
              <w:rPr>
                <w:b/>
                <w:bCs/>
                <w:noProof/>
                <w:sz w:val="20"/>
              </w:rPr>
              <w:t>1</w:t>
            </w:r>
            <w:r w:rsidRPr="00737776">
              <w:rPr>
                <w:b/>
                <w:bCs/>
                <w:szCs w:val="24"/>
              </w:rPr>
              <w:fldChar w:fldCharType="end"/>
            </w:r>
            <w:r w:rsidRPr="00737776">
              <w:rPr>
                <w:sz w:val="20"/>
              </w:rPr>
              <w:t xml:space="preserve"> of </w:t>
            </w:r>
            <w:r w:rsidRPr="00737776">
              <w:rPr>
                <w:b/>
                <w:bCs/>
                <w:szCs w:val="24"/>
              </w:rPr>
              <w:fldChar w:fldCharType="begin"/>
            </w:r>
            <w:r w:rsidRPr="00737776">
              <w:rPr>
                <w:b/>
                <w:bCs/>
                <w:sz w:val="20"/>
              </w:rPr>
              <w:instrText xml:space="preserve"> NUMPAGES  </w:instrText>
            </w:r>
            <w:r w:rsidRPr="00737776">
              <w:rPr>
                <w:b/>
                <w:bCs/>
                <w:szCs w:val="24"/>
              </w:rPr>
              <w:fldChar w:fldCharType="separate"/>
            </w:r>
            <w:r w:rsidR="00FA016B">
              <w:rPr>
                <w:b/>
                <w:bCs/>
                <w:noProof/>
                <w:sz w:val="20"/>
              </w:rPr>
              <w:t>3</w:t>
            </w:r>
            <w:r w:rsidRPr="00737776">
              <w:rPr>
                <w:b/>
                <w:bCs/>
                <w:szCs w:val="24"/>
              </w:rPr>
              <w:fldChar w:fldCharType="end"/>
            </w:r>
          </w:sdtContent>
        </w:sdt>
      </w:sdtContent>
    </w:sdt>
    <w:r>
      <w:rPr>
        <w:sz w:val="20"/>
      </w:rPr>
      <w:tab/>
    </w:r>
  </w:p>
  <w:p w:rsidR="00737776" w:rsidRDefault="007377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774" w:rsidRDefault="00C71774" w:rsidP="00737776">
      <w:r>
        <w:separator/>
      </w:r>
    </w:p>
  </w:footnote>
  <w:footnote w:type="continuationSeparator" w:id="0">
    <w:p w:rsidR="00C71774" w:rsidRDefault="00C71774" w:rsidP="007377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A6098"/>
    <w:multiLevelType w:val="hybridMultilevel"/>
    <w:tmpl w:val="C8503AB4"/>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nsid w:val="453B1976"/>
    <w:multiLevelType w:val="hybridMultilevel"/>
    <w:tmpl w:val="17580FA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633"/>
    <w:rsid w:val="00027F0A"/>
    <w:rsid w:val="000A5998"/>
    <w:rsid w:val="001E7633"/>
    <w:rsid w:val="002764D6"/>
    <w:rsid w:val="00337FF3"/>
    <w:rsid w:val="003D19B6"/>
    <w:rsid w:val="00402C2E"/>
    <w:rsid w:val="00527708"/>
    <w:rsid w:val="00632E35"/>
    <w:rsid w:val="006E29C7"/>
    <w:rsid w:val="00737776"/>
    <w:rsid w:val="0084129B"/>
    <w:rsid w:val="008A7C93"/>
    <w:rsid w:val="00AB5AE4"/>
    <w:rsid w:val="00AF3173"/>
    <w:rsid w:val="00C71774"/>
    <w:rsid w:val="00CB4FAF"/>
    <w:rsid w:val="00D9199D"/>
    <w:rsid w:val="00DA77EE"/>
    <w:rsid w:val="00E8682F"/>
    <w:rsid w:val="00FA016B"/>
    <w:rsid w:val="00FB08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40A26-854D-46D7-AE3E-3F1091A6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31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7776"/>
    <w:pPr>
      <w:tabs>
        <w:tab w:val="center" w:pos="4680"/>
        <w:tab w:val="right" w:pos="9360"/>
      </w:tabs>
    </w:pPr>
  </w:style>
  <w:style w:type="character" w:customStyle="1" w:styleId="HeaderChar">
    <w:name w:val="Header Char"/>
    <w:basedOn w:val="DefaultParagraphFont"/>
    <w:link w:val="Header"/>
    <w:uiPriority w:val="99"/>
    <w:rsid w:val="00737776"/>
  </w:style>
  <w:style w:type="paragraph" w:styleId="Footer">
    <w:name w:val="footer"/>
    <w:basedOn w:val="Normal"/>
    <w:link w:val="FooterChar"/>
    <w:uiPriority w:val="99"/>
    <w:unhideWhenUsed/>
    <w:rsid w:val="00737776"/>
    <w:pPr>
      <w:tabs>
        <w:tab w:val="center" w:pos="4680"/>
        <w:tab w:val="right" w:pos="9360"/>
      </w:tabs>
    </w:pPr>
  </w:style>
  <w:style w:type="character" w:customStyle="1" w:styleId="FooterChar">
    <w:name w:val="Footer Char"/>
    <w:basedOn w:val="DefaultParagraphFont"/>
    <w:link w:val="Footer"/>
    <w:uiPriority w:val="99"/>
    <w:rsid w:val="00737776"/>
  </w:style>
  <w:style w:type="paragraph" w:styleId="ListParagraph">
    <w:name w:val="List Paragraph"/>
    <w:basedOn w:val="Normal"/>
    <w:uiPriority w:val="34"/>
    <w:qFormat/>
    <w:rsid w:val="00527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1194</TotalTime>
  <Pages>3</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Larri-Nil Veloso</dc:creator>
  <cp:keywords/>
  <dc:description/>
  <cp:lastModifiedBy>Larri-Nil Veloso</cp:lastModifiedBy>
  <cp:revision>8</cp:revision>
  <dcterms:created xsi:type="dcterms:W3CDTF">2015-01-16T07:33:00Z</dcterms:created>
  <dcterms:modified xsi:type="dcterms:W3CDTF">2015-01-17T03:33:00Z</dcterms:modified>
</cp:coreProperties>
</file>