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73EEE"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5F35F4B8"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33FA22E4"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1E195BD3"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4DE45CB5"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4CC5684A"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4C3EC53C"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1F216D49"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606A3EDE" w14:textId="77777777" w:rsidR="00D16FDA" w:rsidRPr="00223EBA" w:rsidRDefault="00D16FDA" w:rsidP="00BA507A">
      <w:pPr>
        <w:pStyle w:val="NoSpacing"/>
        <w:shd w:val="clear" w:color="auto" w:fill="FFFFFF" w:themeFill="background1"/>
        <w:spacing w:line="360" w:lineRule="auto"/>
        <w:jc w:val="center"/>
        <w:rPr>
          <w:rFonts w:ascii="Arial" w:hAnsi="Arial" w:cs="Arial"/>
          <w:b/>
          <w:bCs/>
          <w:sz w:val="40"/>
          <w:szCs w:val="40"/>
          <w:u w:val="single"/>
        </w:rPr>
      </w:pPr>
      <w:r w:rsidRPr="00223EBA">
        <w:rPr>
          <w:rFonts w:ascii="Arial" w:hAnsi="Arial" w:cs="Arial"/>
          <w:b/>
          <w:bCs/>
          <w:sz w:val="40"/>
          <w:szCs w:val="40"/>
          <w:u w:val="single"/>
        </w:rPr>
        <w:t>Deploy a secure landing zone that meets the CIS Foundations Benchmark for Oracle Cloud</w:t>
      </w:r>
    </w:p>
    <w:p w14:paraId="66FAB113"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3A680B5B"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448879A6"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42AFBC1B"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6AD039BD"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5143F102"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3681C28D" w14:textId="77777777" w:rsidR="00BA507A" w:rsidRPr="001003D3" w:rsidRDefault="00BA507A" w:rsidP="00BA507A">
      <w:pPr>
        <w:pStyle w:val="NoSpacing"/>
        <w:shd w:val="clear" w:color="auto" w:fill="FFFFFF" w:themeFill="background1"/>
        <w:spacing w:line="360" w:lineRule="auto"/>
        <w:jc w:val="center"/>
        <w:rPr>
          <w:rFonts w:ascii="Arial" w:hAnsi="Arial" w:cs="Arial"/>
          <w:b/>
          <w:bCs/>
          <w:sz w:val="24"/>
          <w:szCs w:val="24"/>
          <w:u w:val="single"/>
        </w:rPr>
      </w:pPr>
    </w:p>
    <w:p w14:paraId="2B11797C" w14:textId="77777777" w:rsidR="00D16FDA" w:rsidRPr="001003D3" w:rsidRDefault="00D16FDA" w:rsidP="00BA507A">
      <w:pPr>
        <w:pStyle w:val="NoSpacing"/>
        <w:shd w:val="clear" w:color="auto" w:fill="FFFFFF" w:themeFill="background1"/>
        <w:spacing w:line="360" w:lineRule="auto"/>
        <w:rPr>
          <w:rFonts w:ascii="Arial" w:hAnsi="Arial" w:cs="Arial"/>
          <w:b/>
          <w:bCs/>
          <w:sz w:val="24"/>
          <w:szCs w:val="24"/>
          <w:u w:val="single"/>
        </w:rPr>
      </w:pPr>
    </w:p>
    <w:p w14:paraId="586E50DA" w14:textId="77777777" w:rsidR="00BA507A" w:rsidRPr="001003D3" w:rsidRDefault="00BA507A" w:rsidP="00BA507A">
      <w:pPr>
        <w:pStyle w:val="NoSpacing"/>
        <w:shd w:val="clear" w:color="auto" w:fill="FFFFFF" w:themeFill="background1"/>
        <w:spacing w:line="360" w:lineRule="auto"/>
        <w:rPr>
          <w:rFonts w:ascii="Arial" w:hAnsi="Arial" w:cs="Arial"/>
          <w:b/>
          <w:bCs/>
          <w:sz w:val="24"/>
          <w:szCs w:val="24"/>
          <w:u w:val="single"/>
        </w:rPr>
      </w:pPr>
    </w:p>
    <w:p w14:paraId="1B20ADFD" w14:textId="77777777" w:rsidR="00BA507A" w:rsidRPr="001003D3" w:rsidRDefault="00BA507A" w:rsidP="00BA507A">
      <w:pPr>
        <w:pStyle w:val="NoSpacing"/>
        <w:shd w:val="clear" w:color="auto" w:fill="FFFFFF" w:themeFill="background1"/>
        <w:spacing w:line="360" w:lineRule="auto"/>
        <w:rPr>
          <w:rFonts w:ascii="Arial" w:hAnsi="Arial" w:cs="Arial"/>
          <w:b/>
          <w:bCs/>
          <w:sz w:val="24"/>
          <w:szCs w:val="24"/>
          <w:u w:val="single"/>
        </w:rPr>
      </w:pPr>
    </w:p>
    <w:p w14:paraId="4FBF80E0" w14:textId="77777777" w:rsidR="008A4C15" w:rsidRPr="001003D3" w:rsidRDefault="008A4C15" w:rsidP="00BA507A">
      <w:pPr>
        <w:pStyle w:val="NoSpacing"/>
        <w:spacing w:line="360" w:lineRule="auto"/>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00BFF389" w14:textId="77777777" w:rsidR="002C4068" w:rsidRPr="001003D3" w:rsidRDefault="002C4068" w:rsidP="00BA507A">
          <w:pPr>
            <w:pStyle w:val="TOCHeading"/>
            <w:spacing w:line="360" w:lineRule="auto"/>
            <w:jc w:val="center"/>
            <w:rPr>
              <w:rFonts w:ascii="Arial" w:hAnsi="Arial" w:cs="Arial"/>
              <w:color w:val="auto"/>
              <w:sz w:val="24"/>
              <w:szCs w:val="24"/>
              <w:u w:val="single"/>
            </w:rPr>
          </w:pPr>
          <w:r w:rsidRPr="001003D3">
            <w:rPr>
              <w:rFonts w:ascii="Arial" w:hAnsi="Arial" w:cs="Arial"/>
              <w:color w:val="auto"/>
              <w:sz w:val="24"/>
              <w:szCs w:val="24"/>
              <w:u w:val="single"/>
            </w:rPr>
            <w:t>Contents</w:t>
          </w:r>
        </w:p>
        <w:p w14:paraId="5EEE804C" w14:textId="77777777" w:rsidR="003B3A00" w:rsidRPr="001003D3" w:rsidRDefault="003B3A00" w:rsidP="00BA507A">
          <w:pPr>
            <w:spacing w:line="360" w:lineRule="auto"/>
            <w:rPr>
              <w:rFonts w:ascii="Arial" w:hAnsi="Arial" w:cs="Arial"/>
              <w:sz w:val="24"/>
              <w:szCs w:val="24"/>
              <w:lang w:val="en-US"/>
            </w:rPr>
          </w:pPr>
        </w:p>
        <w:p w14:paraId="7EBCBFEB" w14:textId="77777777" w:rsidR="00012A86" w:rsidRPr="001003D3" w:rsidRDefault="00261E09">
          <w:pPr>
            <w:pStyle w:val="TOC1"/>
            <w:tabs>
              <w:tab w:val="left" w:pos="440"/>
              <w:tab w:val="right" w:leader="dot" w:pos="9912"/>
            </w:tabs>
            <w:rPr>
              <w:rFonts w:ascii="Arial" w:eastAsiaTheme="minorEastAsia" w:hAnsi="Arial" w:cs="Arial"/>
              <w:noProof/>
              <w:sz w:val="24"/>
              <w:szCs w:val="24"/>
              <w:lang w:eastAsia="en-IN" w:bidi="ta-IN"/>
            </w:rPr>
          </w:pPr>
          <w:r w:rsidRPr="001003D3">
            <w:rPr>
              <w:rFonts w:ascii="Arial" w:hAnsi="Arial" w:cs="Arial"/>
              <w:sz w:val="24"/>
              <w:szCs w:val="24"/>
            </w:rPr>
            <w:fldChar w:fldCharType="begin"/>
          </w:r>
          <w:r w:rsidR="002C4068" w:rsidRPr="001003D3">
            <w:rPr>
              <w:rFonts w:ascii="Arial" w:hAnsi="Arial" w:cs="Arial"/>
              <w:sz w:val="24"/>
              <w:szCs w:val="24"/>
            </w:rPr>
            <w:instrText xml:space="preserve"> TOC \o "1-3" \h \z \u </w:instrText>
          </w:r>
          <w:r w:rsidRPr="001003D3">
            <w:rPr>
              <w:rFonts w:ascii="Arial" w:hAnsi="Arial" w:cs="Arial"/>
              <w:sz w:val="24"/>
              <w:szCs w:val="24"/>
            </w:rPr>
            <w:fldChar w:fldCharType="separate"/>
          </w:r>
          <w:hyperlink w:anchor="_Toc133515450" w:history="1">
            <w:r w:rsidR="00012A86" w:rsidRPr="001003D3">
              <w:rPr>
                <w:rStyle w:val="Hyperlink"/>
                <w:rFonts w:ascii="Arial" w:hAnsi="Arial" w:cs="Arial"/>
                <w:b/>
                <w:noProof/>
                <w:color w:val="auto"/>
                <w:sz w:val="24"/>
                <w:szCs w:val="24"/>
              </w:rPr>
              <w:t>1.</w:t>
            </w:r>
            <w:r w:rsidR="00012A86" w:rsidRPr="001003D3">
              <w:rPr>
                <w:rFonts w:ascii="Arial" w:eastAsiaTheme="minorEastAsia" w:hAnsi="Arial" w:cs="Arial"/>
                <w:noProof/>
                <w:sz w:val="24"/>
                <w:szCs w:val="24"/>
                <w:lang w:eastAsia="en-IN" w:bidi="ta-IN"/>
              </w:rPr>
              <w:tab/>
            </w:r>
            <w:r w:rsidR="00012A86" w:rsidRPr="001003D3">
              <w:rPr>
                <w:rStyle w:val="Hyperlink"/>
                <w:rFonts w:ascii="Arial" w:hAnsi="Arial" w:cs="Arial"/>
                <w:b/>
                <w:noProof/>
                <w:color w:val="auto"/>
                <w:sz w:val="24"/>
                <w:szCs w:val="24"/>
              </w:rPr>
              <w:t>Overview</w:t>
            </w:r>
            <w:r w:rsidR="00012A86" w:rsidRPr="001003D3">
              <w:rPr>
                <w:rFonts w:ascii="Arial" w:hAnsi="Arial" w:cs="Arial"/>
                <w:noProof/>
                <w:webHidden/>
                <w:sz w:val="24"/>
                <w:szCs w:val="24"/>
              </w:rPr>
              <w:tab/>
            </w:r>
            <w:r w:rsidR="00012A86" w:rsidRPr="001003D3">
              <w:rPr>
                <w:rFonts w:ascii="Arial" w:hAnsi="Arial" w:cs="Arial"/>
                <w:noProof/>
                <w:webHidden/>
                <w:sz w:val="24"/>
                <w:szCs w:val="24"/>
              </w:rPr>
              <w:fldChar w:fldCharType="begin"/>
            </w:r>
            <w:r w:rsidR="00012A86" w:rsidRPr="001003D3">
              <w:rPr>
                <w:rFonts w:ascii="Arial" w:hAnsi="Arial" w:cs="Arial"/>
                <w:noProof/>
                <w:webHidden/>
                <w:sz w:val="24"/>
                <w:szCs w:val="24"/>
              </w:rPr>
              <w:instrText xml:space="preserve"> PAGEREF _Toc133515450 \h </w:instrText>
            </w:r>
            <w:r w:rsidR="00012A86" w:rsidRPr="001003D3">
              <w:rPr>
                <w:rFonts w:ascii="Arial" w:hAnsi="Arial" w:cs="Arial"/>
                <w:noProof/>
                <w:webHidden/>
                <w:sz w:val="24"/>
                <w:szCs w:val="24"/>
              </w:rPr>
            </w:r>
            <w:r w:rsidR="00012A86" w:rsidRPr="001003D3">
              <w:rPr>
                <w:rFonts w:ascii="Arial" w:hAnsi="Arial" w:cs="Arial"/>
                <w:noProof/>
                <w:webHidden/>
                <w:sz w:val="24"/>
                <w:szCs w:val="24"/>
              </w:rPr>
              <w:fldChar w:fldCharType="separate"/>
            </w:r>
            <w:r w:rsidR="00012A86" w:rsidRPr="001003D3">
              <w:rPr>
                <w:rFonts w:ascii="Arial" w:hAnsi="Arial" w:cs="Arial"/>
                <w:noProof/>
                <w:webHidden/>
                <w:sz w:val="24"/>
                <w:szCs w:val="24"/>
              </w:rPr>
              <w:t>2</w:t>
            </w:r>
            <w:r w:rsidR="00012A86" w:rsidRPr="001003D3">
              <w:rPr>
                <w:rFonts w:ascii="Arial" w:hAnsi="Arial" w:cs="Arial"/>
                <w:noProof/>
                <w:webHidden/>
                <w:sz w:val="24"/>
                <w:szCs w:val="24"/>
              </w:rPr>
              <w:fldChar w:fldCharType="end"/>
            </w:r>
          </w:hyperlink>
        </w:p>
        <w:p w14:paraId="2A1B9DA6" w14:textId="77777777" w:rsidR="00012A86" w:rsidRPr="001003D3"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5451" w:history="1">
            <w:r w:rsidR="00012A86" w:rsidRPr="001003D3">
              <w:rPr>
                <w:rStyle w:val="Hyperlink"/>
                <w:rFonts w:ascii="Arial" w:hAnsi="Arial" w:cs="Arial"/>
                <w:b/>
                <w:noProof/>
                <w:color w:val="auto"/>
                <w:sz w:val="24"/>
                <w:szCs w:val="24"/>
              </w:rPr>
              <w:t>2.</w:t>
            </w:r>
            <w:r w:rsidR="00012A86" w:rsidRPr="001003D3">
              <w:rPr>
                <w:rFonts w:ascii="Arial" w:eastAsiaTheme="minorEastAsia" w:hAnsi="Arial" w:cs="Arial"/>
                <w:noProof/>
                <w:sz w:val="24"/>
                <w:szCs w:val="24"/>
                <w:lang w:eastAsia="en-IN" w:bidi="ta-IN"/>
              </w:rPr>
              <w:tab/>
            </w:r>
            <w:r w:rsidR="00012A86" w:rsidRPr="001003D3">
              <w:rPr>
                <w:rStyle w:val="Hyperlink"/>
                <w:rFonts w:ascii="Arial" w:hAnsi="Arial" w:cs="Arial"/>
                <w:b/>
                <w:noProof/>
                <w:color w:val="auto"/>
                <w:sz w:val="24"/>
                <w:szCs w:val="24"/>
              </w:rPr>
              <w:t>Architecture</w:t>
            </w:r>
            <w:r w:rsidR="00012A86" w:rsidRPr="001003D3">
              <w:rPr>
                <w:rFonts w:ascii="Arial" w:hAnsi="Arial" w:cs="Arial"/>
                <w:noProof/>
                <w:webHidden/>
                <w:sz w:val="24"/>
                <w:szCs w:val="24"/>
              </w:rPr>
              <w:tab/>
            </w:r>
            <w:r w:rsidR="00012A86" w:rsidRPr="001003D3">
              <w:rPr>
                <w:rFonts w:ascii="Arial" w:hAnsi="Arial" w:cs="Arial"/>
                <w:noProof/>
                <w:webHidden/>
                <w:sz w:val="24"/>
                <w:szCs w:val="24"/>
              </w:rPr>
              <w:fldChar w:fldCharType="begin"/>
            </w:r>
            <w:r w:rsidR="00012A86" w:rsidRPr="001003D3">
              <w:rPr>
                <w:rFonts w:ascii="Arial" w:hAnsi="Arial" w:cs="Arial"/>
                <w:noProof/>
                <w:webHidden/>
                <w:sz w:val="24"/>
                <w:szCs w:val="24"/>
              </w:rPr>
              <w:instrText xml:space="preserve"> PAGEREF _Toc133515451 \h </w:instrText>
            </w:r>
            <w:r w:rsidR="00012A86" w:rsidRPr="001003D3">
              <w:rPr>
                <w:rFonts w:ascii="Arial" w:hAnsi="Arial" w:cs="Arial"/>
                <w:noProof/>
                <w:webHidden/>
                <w:sz w:val="24"/>
                <w:szCs w:val="24"/>
              </w:rPr>
            </w:r>
            <w:r w:rsidR="00012A86" w:rsidRPr="001003D3">
              <w:rPr>
                <w:rFonts w:ascii="Arial" w:hAnsi="Arial" w:cs="Arial"/>
                <w:noProof/>
                <w:webHidden/>
                <w:sz w:val="24"/>
                <w:szCs w:val="24"/>
              </w:rPr>
              <w:fldChar w:fldCharType="separate"/>
            </w:r>
            <w:r w:rsidR="00012A86" w:rsidRPr="001003D3">
              <w:rPr>
                <w:rFonts w:ascii="Arial" w:hAnsi="Arial" w:cs="Arial"/>
                <w:noProof/>
                <w:webHidden/>
                <w:sz w:val="24"/>
                <w:szCs w:val="24"/>
              </w:rPr>
              <w:t>3</w:t>
            </w:r>
            <w:r w:rsidR="00012A86" w:rsidRPr="001003D3">
              <w:rPr>
                <w:rFonts w:ascii="Arial" w:hAnsi="Arial" w:cs="Arial"/>
                <w:noProof/>
                <w:webHidden/>
                <w:sz w:val="24"/>
                <w:szCs w:val="24"/>
              </w:rPr>
              <w:fldChar w:fldCharType="end"/>
            </w:r>
          </w:hyperlink>
        </w:p>
        <w:p w14:paraId="007BA5C7" w14:textId="77777777" w:rsidR="00012A86" w:rsidRPr="001003D3"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5452" w:history="1">
            <w:r w:rsidR="00012A86" w:rsidRPr="001003D3">
              <w:rPr>
                <w:rStyle w:val="Hyperlink"/>
                <w:rFonts w:ascii="Arial" w:hAnsi="Arial" w:cs="Arial"/>
                <w:b/>
                <w:noProof/>
                <w:color w:val="auto"/>
                <w:sz w:val="24"/>
                <w:szCs w:val="24"/>
              </w:rPr>
              <w:t>3.</w:t>
            </w:r>
            <w:r w:rsidR="00012A86" w:rsidRPr="001003D3">
              <w:rPr>
                <w:rFonts w:ascii="Arial" w:eastAsiaTheme="minorEastAsia" w:hAnsi="Arial" w:cs="Arial"/>
                <w:noProof/>
                <w:sz w:val="24"/>
                <w:szCs w:val="24"/>
                <w:lang w:eastAsia="en-IN" w:bidi="ta-IN"/>
              </w:rPr>
              <w:tab/>
            </w:r>
            <w:r w:rsidR="00012A86" w:rsidRPr="001003D3">
              <w:rPr>
                <w:rStyle w:val="Hyperlink"/>
                <w:rFonts w:ascii="Arial" w:hAnsi="Arial" w:cs="Arial"/>
                <w:b/>
                <w:noProof/>
                <w:color w:val="auto"/>
                <w:sz w:val="24"/>
                <w:szCs w:val="24"/>
              </w:rPr>
              <w:t>Recommendations</w:t>
            </w:r>
            <w:r w:rsidR="00012A86" w:rsidRPr="001003D3">
              <w:rPr>
                <w:rFonts w:ascii="Arial" w:hAnsi="Arial" w:cs="Arial"/>
                <w:noProof/>
                <w:webHidden/>
                <w:sz w:val="24"/>
                <w:szCs w:val="24"/>
              </w:rPr>
              <w:tab/>
            </w:r>
            <w:r w:rsidR="00012A86" w:rsidRPr="001003D3">
              <w:rPr>
                <w:rFonts w:ascii="Arial" w:hAnsi="Arial" w:cs="Arial"/>
                <w:noProof/>
                <w:webHidden/>
                <w:sz w:val="24"/>
                <w:szCs w:val="24"/>
              </w:rPr>
              <w:fldChar w:fldCharType="begin"/>
            </w:r>
            <w:r w:rsidR="00012A86" w:rsidRPr="001003D3">
              <w:rPr>
                <w:rFonts w:ascii="Arial" w:hAnsi="Arial" w:cs="Arial"/>
                <w:noProof/>
                <w:webHidden/>
                <w:sz w:val="24"/>
                <w:szCs w:val="24"/>
              </w:rPr>
              <w:instrText xml:space="preserve"> PAGEREF _Toc133515452 \h </w:instrText>
            </w:r>
            <w:r w:rsidR="00012A86" w:rsidRPr="001003D3">
              <w:rPr>
                <w:rFonts w:ascii="Arial" w:hAnsi="Arial" w:cs="Arial"/>
                <w:noProof/>
                <w:webHidden/>
                <w:sz w:val="24"/>
                <w:szCs w:val="24"/>
              </w:rPr>
            </w:r>
            <w:r w:rsidR="00012A86" w:rsidRPr="001003D3">
              <w:rPr>
                <w:rFonts w:ascii="Arial" w:hAnsi="Arial" w:cs="Arial"/>
                <w:noProof/>
                <w:webHidden/>
                <w:sz w:val="24"/>
                <w:szCs w:val="24"/>
              </w:rPr>
              <w:fldChar w:fldCharType="separate"/>
            </w:r>
            <w:r w:rsidR="00012A86" w:rsidRPr="001003D3">
              <w:rPr>
                <w:rFonts w:ascii="Arial" w:hAnsi="Arial" w:cs="Arial"/>
                <w:noProof/>
                <w:webHidden/>
                <w:sz w:val="24"/>
                <w:szCs w:val="24"/>
              </w:rPr>
              <w:t>8</w:t>
            </w:r>
            <w:r w:rsidR="00012A86" w:rsidRPr="001003D3">
              <w:rPr>
                <w:rFonts w:ascii="Arial" w:hAnsi="Arial" w:cs="Arial"/>
                <w:noProof/>
                <w:webHidden/>
                <w:sz w:val="24"/>
                <w:szCs w:val="24"/>
              </w:rPr>
              <w:fldChar w:fldCharType="end"/>
            </w:r>
          </w:hyperlink>
        </w:p>
        <w:p w14:paraId="229366D0" w14:textId="77777777" w:rsidR="00012A86" w:rsidRPr="001003D3"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5453" w:history="1">
            <w:r w:rsidR="00012A86" w:rsidRPr="001003D3">
              <w:rPr>
                <w:rStyle w:val="Hyperlink"/>
                <w:rFonts w:ascii="Arial" w:hAnsi="Arial" w:cs="Arial"/>
                <w:b/>
                <w:noProof/>
                <w:color w:val="auto"/>
                <w:sz w:val="24"/>
                <w:szCs w:val="24"/>
              </w:rPr>
              <w:t>4.</w:t>
            </w:r>
            <w:r w:rsidR="00012A86" w:rsidRPr="001003D3">
              <w:rPr>
                <w:rFonts w:ascii="Arial" w:eastAsiaTheme="minorEastAsia" w:hAnsi="Arial" w:cs="Arial"/>
                <w:noProof/>
                <w:sz w:val="24"/>
                <w:szCs w:val="24"/>
                <w:lang w:eastAsia="en-IN" w:bidi="ta-IN"/>
              </w:rPr>
              <w:tab/>
            </w:r>
            <w:r w:rsidR="00012A86" w:rsidRPr="001003D3">
              <w:rPr>
                <w:rStyle w:val="Hyperlink"/>
                <w:rFonts w:ascii="Arial" w:hAnsi="Arial" w:cs="Arial"/>
                <w:b/>
                <w:noProof/>
                <w:color w:val="auto"/>
                <w:sz w:val="24"/>
                <w:szCs w:val="24"/>
              </w:rPr>
              <w:t>Considerations</w:t>
            </w:r>
            <w:r w:rsidR="00012A86" w:rsidRPr="001003D3">
              <w:rPr>
                <w:rFonts w:ascii="Arial" w:hAnsi="Arial" w:cs="Arial"/>
                <w:noProof/>
                <w:webHidden/>
                <w:sz w:val="24"/>
                <w:szCs w:val="24"/>
              </w:rPr>
              <w:tab/>
            </w:r>
            <w:r w:rsidR="00012A86" w:rsidRPr="001003D3">
              <w:rPr>
                <w:rFonts w:ascii="Arial" w:hAnsi="Arial" w:cs="Arial"/>
                <w:noProof/>
                <w:webHidden/>
                <w:sz w:val="24"/>
                <w:szCs w:val="24"/>
              </w:rPr>
              <w:fldChar w:fldCharType="begin"/>
            </w:r>
            <w:r w:rsidR="00012A86" w:rsidRPr="001003D3">
              <w:rPr>
                <w:rFonts w:ascii="Arial" w:hAnsi="Arial" w:cs="Arial"/>
                <w:noProof/>
                <w:webHidden/>
                <w:sz w:val="24"/>
                <w:szCs w:val="24"/>
              </w:rPr>
              <w:instrText xml:space="preserve"> PAGEREF _Toc133515453 \h </w:instrText>
            </w:r>
            <w:r w:rsidR="00012A86" w:rsidRPr="001003D3">
              <w:rPr>
                <w:rFonts w:ascii="Arial" w:hAnsi="Arial" w:cs="Arial"/>
                <w:noProof/>
                <w:webHidden/>
                <w:sz w:val="24"/>
                <w:szCs w:val="24"/>
              </w:rPr>
            </w:r>
            <w:r w:rsidR="00012A86" w:rsidRPr="001003D3">
              <w:rPr>
                <w:rFonts w:ascii="Arial" w:hAnsi="Arial" w:cs="Arial"/>
                <w:noProof/>
                <w:webHidden/>
                <w:sz w:val="24"/>
                <w:szCs w:val="24"/>
              </w:rPr>
              <w:fldChar w:fldCharType="separate"/>
            </w:r>
            <w:r w:rsidR="00012A86" w:rsidRPr="001003D3">
              <w:rPr>
                <w:rFonts w:ascii="Arial" w:hAnsi="Arial" w:cs="Arial"/>
                <w:noProof/>
                <w:webHidden/>
                <w:sz w:val="24"/>
                <w:szCs w:val="24"/>
              </w:rPr>
              <w:t>9</w:t>
            </w:r>
            <w:r w:rsidR="00012A86" w:rsidRPr="001003D3">
              <w:rPr>
                <w:rFonts w:ascii="Arial" w:hAnsi="Arial" w:cs="Arial"/>
                <w:noProof/>
                <w:webHidden/>
                <w:sz w:val="24"/>
                <w:szCs w:val="24"/>
              </w:rPr>
              <w:fldChar w:fldCharType="end"/>
            </w:r>
          </w:hyperlink>
        </w:p>
        <w:p w14:paraId="0BDBF0CA" w14:textId="77777777" w:rsidR="00012A86" w:rsidRPr="001003D3"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5454" w:history="1">
            <w:r w:rsidR="00012A86" w:rsidRPr="001003D3">
              <w:rPr>
                <w:rStyle w:val="Hyperlink"/>
                <w:rFonts w:ascii="Arial" w:hAnsi="Arial" w:cs="Arial"/>
                <w:b/>
                <w:noProof/>
                <w:color w:val="auto"/>
                <w:sz w:val="24"/>
                <w:szCs w:val="24"/>
              </w:rPr>
              <w:t>5.</w:t>
            </w:r>
            <w:r w:rsidR="00012A86" w:rsidRPr="001003D3">
              <w:rPr>
                <w:rFonts w:ascii="Arial" w:eastAsiaTheme="minorEastAsia" w:hAnsi="Arial" w:cs="Arial"/>
                <w:noProof/>
                <w:sz w:val="24"/>
                <w:szCs w:val="24"/>
                <w:lang w:eastAsia="en-IN" w:bidi="ta-IN"/>
              </w:rPr>
              <w:tab/>
            </w:r>
            <w:r w:rsidR="00012A86" w:rsidRPr="001003D3">
              <w:rPr>
                <w:rStyle w:val="Hyperlink"/>
                <w:rFonts w:ascii="Arial" w:hAnsi="Arial" w:cs="Arial"/>
                <w:b/>
                <w:noProof/>
                <w:color w:val="auto"/>
                <w:sz w:val="24"/>
                <w:szCs w:val="24"/>
              </w:rPr>
              <w:t>Deploy</w:t>
            </w:r>
            <w:r w:rsidR="00012A86" w:rsidRPr="001003D3">
              <w:rPr>
                <w:rFonts w:ascii="Arial" w:hAnsi="Arial" w:cs="Arial"/>
                <w:noProof/>
                <w:webHidden/>
                <w:sz w:val="24"/>
                <w:szCs w:val="24"/>
              </w:rPr>
              <w:tab/>
            </w:r>
            <w:r w:rsidR="00012A86" w:rsidRPr="001003D3">
              <w:rPr>
                <w:rFonts w:ascii="Arial" w:hAnsi="Arial" w:cs="Arial"/>
                <w:noProof/>
                <w:webHidden/>
                <w:sz w:val="24"/>
                <w:szCs w:val="24"/>
              </w:rPr>
              <w:fldChar w:fldCharType="begin"/>
            </w:r>
            <w:r w:rsidR="00012A86" w:rsidRPr="001003D3">
              <w:rPr>
                <w:rFonts w:ascii="Arial" w:hAnsi="Arial" w:cs="Arial"/>
                <w:noProof/>
                <w:webHidden/>
                <w:sz w:val="24"/>
                <w:szCs w:val="24"/>
              </w:rPr>
              <w:instrText xml:space="preserve"> PAGEREF _Toc133515454 \h </w:instrText>
            </w:r>
            <w:r w:rsidR="00012A86" w:rsidRPr="001003D3">
              <w:rPr>
                <w:rFonts w:ascii="Arial" w:hAnsi="Arial" w:cs="Arial"/>
                <w:noProof/>
                <w:webHidden/>
                <w:sz w:val="24"/>
                <w:szCs w:val="24"/>
              </w:rPr>
            </w:r>
            <w:r w:rsidR="00012A86" w:rsidRPr="001003D3">
              <w:rPr>
                <w:rFonts w:ascii="Arial" w:hAnsi="Arial" w:cs="Arial"/>
                <w:noProof/>
                <w:webHidden/>
                <w:sz w:val="24"/>
                <w:szCs w:val="24"/>
              </w:rPr>
              <w:fldChar w:fldCharType="separate"/>
            </w:r>
            <w:r w:rsidR="00012A86" w:rsidRPr="001003D3">
              <w:rPr>
                <w:rFonts w:ascii="Arial" w:hAnsi="Arial" w:cs="Arial"/>
                <w:noProof/>
                <w:webHidden/>
                <w:sz w:val="24"/>
                <w:szCs w:val="24"/>
              </w:rPr>
              <w:t>10</w:t>
            </w:r>
            <w:r w:rsidR="00012A86" w:rsidRPr="001003D3">
              <w:rPr>
                <w:rFonts w:ascii="Arial" w:hAnsi="Arial" w:cs="Arial"/>
                <w:noProof/>
                <w:webHidden/>
                <w:sz w:val="24"/>
                <w:szCs w:val="24"/>
              </w:rPr>
              <w:fldChar w:fldCharType="end"/>
            </w:r>
          </w:hyperlink>
        </w:p>
        <w:p w14:paraId="0FB12F58" w14:textId="77777777" w:rsidR="00BA507A" w:rsidRPr="001003D3" w:rsidRDefault="00261E09" w:rsidP="00BA507A">
          <w:pPr>
            <w:spacing w:line="360" w:lineRule="auto"/>
            <w:rPr>
              <w:rFonts w:ascii="Arial" w:hAnsi="Arial" w:cs="Arial"/>
              <w:b/>
              <w:bCs/>
              <w:noProof/>
              <w:sz w:val="24"/>
              <w:szCs w:val="24"/>
            </w:rPr>
          </w:pPr>
          <w:r w:rsidRPr="001003D3">
            <w:rPr>
              <w:rFonts w:ascii="Arial" w:hAnsi="Arial" w:cs="Arial"/>
              <w:b/>
              <w:bCs/>
              <w:noProof/>
              <w:sz w:val="24"/>
              <w:szCs w:val="24"/>
            </w:rPr>
            <w:fldChar w:fldCharType="end"/>
          </w:r>
        </w:p>
      </w:sdtContent>
    </w:sdt>
    <w:p w14:paraId="1B71F669" w14:textId="77777777" w:rsidR="00BA507A" w:rsidRPr="001003D3" w:rsidRDefault="00BA507A" w:rsidP="00BA507A">
      <w:pPr>
        <w:spacing w:line="360" w:lineRule="auto"/>
        <w:rPr>
          <w:rFonts w:ascii="Arial" w:hAnsi="Arial" w:cs="Arial"/>
          <w:b/>
          <w:sz w:val="24"/>
          <w:szCs w:val="24"/>
        </w:rPr>
      </w:pPr>
    </w:p>
    <w:p w14:paraId="7E06D526" w14:textId="77777777" w:rsidR="00BA507A" w:rsidRPr="001003D3" w:rsidRDefault="00BA507A" w:rsidP="00BA507A">
      <w:pPr>
        <w:spacing w:line="360" w:lineRule="auto"/>
        <w:rPr>
          <w:rFonts w:ascii="Arial" w:hAnsi="Arial" w:cs="Arial"/>
          <w:b/>
          <w:sz w:val="24"/>
          <w:szCs w:val="24"/>
        </w:rPr>
      </w:pPr>
    </w:p>
    <w:p w14:paraId="672C016F" w14:textId="77777777" w:rsidR="00BA507A" w:rsidRPr="001003D3" w:rsidRDefault="00BA507A" w:rsidP="00BA507A">
      <w:pPr>
        <w:spacing w:line="360" w:lineRule="auto"/>
        <w:rPr>
          <w:rFonts w:ascii="Arial" w:hAnsi="Arial" w:cs="Arial"/>
          <w:b/>
          <w:sz w:val="24"/>
          <w:szCs w:val="24"/>
        </w:rPr>
      </w:pPr>
    </w:p>
    <w:p w14:paraId="1E3FF3D7" w14:textId="77777777" w:rsidR="00BA507A" w:rsidRPr="001003D3" w:rsidRDefault="00BA507A" w:rsidP="00BA507A">
      <w:pPr>
        <w:spacing w:line="360" w:lineRule="auto"/>
        <w:rPr>
          <w:rFonts w:ascii="Arial" w:hAnsi="Arial" w:cs="Arial"/>
          <w:b/>
          <w:sz w:val="24"/>
          <w:szCs w:val="24"/>
        </w:rPr>
      </w:pPr>
    </w:p>
    <w:p w14:paraId="167A43E4" w14:textId="77777777" w:rsidR="00BA507A" w:rsidRPr="001003D3" w:rsidRDefault="00BA507A" w:rsidP="00BA507A">
      <w:pPr>
        <w:spacing w:line="360" w:lineRule="auto"/>
        <w:rPr>
          <w:rFonts w:ascii="Arial" w:hAnsi="Arial" w:cs="Arial"/>
          <w:b/>
          <w:sz w:val="24"/>
          <w:szCs w:val="24"/>
        </w:rPr>
      </w:pPr>
    </w:p>
    <w:p w14:paraId="6B8B51ED" w14:textId="77777777" w:rsidR="00BA507A" w:rsidRPr="001003D3" w:rsidRDefault="00BA507A" w:rsidP="00BA507A">
      <w:pPr>
        <w:spacing w:line="360" w:lineRule="auto"/>
        <w:rPr>
          <w:rFonts w:ascii="Arial" w:hAnsi="Arial" w:cs="Arial"/>
          <w:b/>
          <w:sz w:val="24"/>
          <w:szCs w:val="24"/>
        </w:rPr>
      </w:pPr>
    </w:p>
    <w:p w14:paraId="5AD2D19B" w14:textId="77777777" w:rsidR="00BA507A" w:rsidRPr="001003D3" w:rsidRDefault="00BA507A" w:rsidP="00BA507A">
      <w:pPr>
        <w:spacing w:line="360" w:lineRule="auto"/>
        <w:rPr>
          <w:rFonts w:ascii="Arial" w:hAnsi="Arial" w:cs="Arial"/>
          <w:b/>
          <w:sz w:val="24"/>
          <w:szCs w:val="24"/>
        </w:rPr>
      </w:pPr>
    </w:p>
    <w:p w14:paraId="64BFFF59" w14:textId="77777777" w:rsidR="00BA507A" w:rsidRPr="001003D3" w:rsidRDefault="00BA507A" w:rsidP="00BA507A">
      <w:pPr>
        <w:spacing w:line="360" w:lineRule="auto"/>
        <w:rPr>
          <w:rFonts w:ascii="Arial" w:hAnsi="Arial" w:cs="Arial"/>
          <w:b/>
          <w:sz w:val="24"/>
          <w:szCs w:val="24"/>
        </w:rPr>
      </w:pPr>
    </w:p>
    <w:p w14:paraId="34B3E395" w14:textId="77777777" w:rsidR="00BA507A" w:rsidRPr="001003D3" w:rsidRDefault="00BA507A" w:rsidP="00BA507A">
      <w:pPr>
        <w:spacing w:line="360" w:lineRule="auto"/>
        <w:rPr>
          <w:rFonts w:ascii="Arial" w:hAnsi="Arial" w:cs="Arial"/>
          <w:b/>
          <w:sz w:val="24"/>
          <w:szCs w:val="24"/>
        </w:rPr>
      </w:pPr>
    </w:p>
    <w:p w14:paraId="742E9455" w14:textId="77777777" w:rsidR="00BA507A" w:rsidRPr="001003D3" w:rsidRDefault="00BA507A" w:rsidP="00BA507A">
      <w:pPr>
        <w:spacing w:line="360" w:lineRule="auto"/>
        <w:rPr>
          <w:rFonts w:ascii="Arial" w:hAnsi="Arial" w:cs="Arial"/>
          <w:b/>
          <w:sz w:val="24"/>
          <w:szCs w:val="24"/>
        </w:rPr>
      </w:pPr>
    </w:p>
    <w:p w14:paraId="39FD6C7A" w14:textId="77777777" w:rsidR="00BA507A" w:rsidRPr="001003D3" w:rsidRDefault="00BA507A" w:rsidP="00BA507A">
      <w:pPr>
        <w:spacing w:line="360" w:lineRule="auto"/>
        <w:rPr>
          <w:rFonts w:ascii="Arial" w:hAnsi="Arial" w:cs="Arial"/>
          <w:b/>
          <w:sz w:val="24"/>
          <w:szCs w:val="24"/>
        </w:rPr>
      </w:pPr>
    </w:p>
    <w:p w14:paraId="4A3757DD" w14:textId="77777777" w:rsidR="00BA507A" w:rsidRPr="001003D3" w:rsidRDefault="00BA507A" w:rsidP="00BA507A">
      <w:pPr>
        <w:pStyle w:val="Heading1"/>
        <w:spacing w:line="360" w:lineRule="auto"/>
        <w:rPr>
          <w:rFonts w:ascii="Arial" w:hAnsi="Arial" w:cs="Arial"/>
          <w:b/>
          <w:color w:val="auto"/>
          <w:sz w:val="24"/>
          <w:szCs w:val="24"/>
        </w:rPr>
      </w:pPr>
    </w:p>
    <w:p w14:paraId="4832A76E" w14:textId="77777777" w:rsidR="0067233C" w:rsidRPr="001003D3" w:rsidRDefault="0026368A" w:rsidP="0026368A">
      <w:pPr>
        <w:pStyle w:val="Heading1"/>
        <w:numPr>
          <w:ilvl w:val="0"/>
          <w:numId w:val="128"/>
        </w:numPr>
        <w:spacing w:line="360" w:lineRule="auto"/>
        <w:rPr>
          <w:rFonts w:ascii="Arial" w:hAnsi="Arial" w:cs="Arial"/>
          <w:b/>
          <w:color w:val="auto"/>
          <w:sz w:val="24"/>
          <w:szCs w:val="24"/>
        </w:rPr>
      </w:pPr>
      <w:bookmarkStart w:id="0" w:name="_Toc133515450"/>
      <w:r w:rsidRPr="001003D3">
        <w:rPr>
          <w:rFonts w:ascii="Arial" w:hAnsi="Arial" w:cs="Arial"/>
          <w:b/>
          <w:color w:val="auto"/>
          <w:sz w:val="24"/>
          <w:szCs w:val="24"/>
        </w:rPr>
        <w:t>Overview</w:t>
      </w:r>
      <w:bookmarkEnd w:id="0"/>
    </w:p>
    <w:p w14:paraId="5A4E0140" w14:textId="77777777" w:rsidR="0026368A" w:rsidRPr="001003D3" w:rsidRDefault="0026368A" w:rsidP="00BA507A">
      <w:pPr>
        <w:pStyle w:val="NoSpacing"/>
        <w:shd w:val="clear" w:color="auto" w:fill="FFFFFF" w:themeFill="background1"/>
        <w:spacing w:line="360" w:lineRule="auto"/>
        <w:rPr>
          <w:rFonts w:ascii="Arial" w:eastAsiaTheme="majorEastAsia" w:hAnsi="Arial" w:cs="Arial"/>
          <w:sz w:val="24"/>
          <w:szCs w:val="24"/>
        </w:rPr>
      </w:pPr>
    </w:p>
    <w:p w14:paraId="7D92C95D" w14:textId="77777777" w:rsidR="002C4068" w:rsidRPr="001003D3" w:rsidRDefault="00F61C66" w:rsidP="00BA507A">
      <w:pPr>
        <w:pStyle w:val="NoSpacing"/>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sz w:val="24"/>
          <w:szCs w:val="24"/>
        </w:rPr>
        <w:t>To run your workloads in Oracle Cloud, you need a secure environment that you can operate efficiently. This reference architecture provides a Terraform-based landing zone template that meets the security guidance prescribed in the CIS Oracle Cloud Infrastructure Foundations Benchmark.</w:t>
      </w:r>
    </w:p>
    <w:p w14:paraId="0344022E" w14:textId="77777777" w:rsidR="0026368A" w:rsidRPr="001003D3" w:rsidRDefault="0026368A" w:rsidP="00BA507A">
      <w:pPr>
        <w:pStyle w:val="NoSpacing"/>
        <w:shd w:val="clear" w:color="auto" w:fill="FFFFFF" w:themeFill="background1"/>
        <w:spacing w:line="360" w:lineRule="auto"/>
        <w:rPr>
          <w:rFonts w:ascii="Arial" w:eastAsiaTheme="majorEastAsia" w:hAnsi="Arial" w:cs="Arial"/>
          <w:sz w:val="24"/>
          <w:szCs w:val="24"/>
        </w:rPr>
      </w:pPr>
    </w:p>
    <w:p w14:paraId="631448E5" w14:textId="77777777" w:rsidR="00F61C66" w:rsidRPr="001003D3" w:rsidRDefault="00BA507A" w:rsidP="0026368A">
      <w:pPr>
        <w:pStyle w:val="Heading1"/>
        <w:numPr>
          <w:ilvl w:val="0"/>
          <w:numId w:val="128"/>
        </w:numPr>
        <w:spacing w:line="360" w:lineRule="auto"/>
        <w:rPr>
          <w:rFonts w:ascii="Arial" w:hAnsi="Arial" w:cs="Arial"/>
          <w:b/>
          <w:color w:val="auto"/>
          <w:sz w:val="24"/>
          <w:szCs w:val="24"/>
        </w:rPr>
      </w:pPr>
      <w:r w:rsidRPr="001003D3">
        <w:rPr>
          <w:rFonts w:ascii="Arial" w:hAnsi="Arial" w:cs="Arial"/>
          <w:b/>
          <w:color w:val="auto"/>
          <w:sz w:val="24"/>
          <w:szCs w:val="24"/>
        </w:rPr>
        <w:t xml:space="preserve">  </w:t>
      </w:r>
      <w:bookmarkStart w:id="1" w:name="_Toc133515451"/>
      <w:r w:rsidR="00912F2F" w:rsidRPr="001003D3">
        <w:rPr>
          <w:rFonts w:ascii="Arial" w:hAnsi="Arial" w:cs="Arial"/>
          <w:b/>
          <w:color w:val="auto"/>
          <w:sz w:val="24"/>
          <w:szCs w:val="24"/>
        </w:rPr>
        <w:t>Architecture</w:t>
      </w:r>
      <w:bookmarkEnd w:id="1"/>
    </w:p>
    <w:p w14:paraId="1C3D5D27" w14:textId="77777777" w:rsidR="0026368A" w:rsidRPr="001003D3" w:rsidRDefault="0026368A" w:rsidP="00BA507A">
      <w:pPr>
        <w:pStyle w:val="NoSpacing"/>
        <w:shd w:val="clear" w:color="auto" w:fill="FFFFFF" w:themeFill="background1"/>
        <w:spacing w:line="360" w:lineRule="auto"/>
        <w:rPr>
          <w:rFonts w:ascii="Arial" w:eastAsiaTheme="majorEastAsia" w:hAnsi="Arial" w:cs="Arial"/>
          <w:sz w:val="24"/>
          <w:szCs w:val="24"/>
        </w:rPr>
      </w:pPr>
    </w:p>
    <w:p w14:paraId="792B511E" w14:textId="77777777" w:rsidR="00F61C66" w:rsidRPr="001003D3" w:rsidRDefault="00F61C66" w:rsidP="00BA507A">
      <w:pPr>
        <w:pStyle w:val="NoSpacing"/>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sz w:val="24"/>
          <w:szCs w:val="24"/>
        </w:rPr>
        <w:t>The architecture starts with the compartment design for the tenancy along with groups and policies for segregation of duties. In Landing Zone V2 provisioning of Landing Zone compartments within a designated parent compartment is supported. Each of the Landing Zone compartments is assigned a group with the appropriate permissions for managing resources in the compartment and for accessing required resources in other compartments.</w:t>
      </w:r>
    </w:p>
    <w:p w14:paraId="0DD3F5B2" w14:textId="77777777" w:rsidR="0026368A" w:rsidRPr="001003D3" w:rsidRDefault="0026368A" w:rsidP="00BA507A">
      <w:pPr>
        <w:pStyle w:val="NoSpacing"/>
        <w:shd w:val="clear" w:color="auto" w:fill="FFFFFF" w:themeFill="background1"/>
        <w:spacing w:line="360" w:lineRule="auto"/>
        <w:rPr>
          <w:rFonts w:ascii="Arial" w:eastAsiaTheme="majorEastAsia" w:hAnsi="Arial" w:cs="Arial"/>
          <w:sz w:val="24"/>
          <w:szCs w:val="24"/>
        </w:rPr>
      </w:pPr>
    </w:p>
    <w:p w14:paraId="178562A4" w14:textId="77777777" w:rsidR="00F61C66" w:rsidRPr="001003D3" w:rsidRDefault="00F61C66" w:rsidP="00BA507A">
      <w:pPr>
        <w:pStyle w:val="NoSpacing"/>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sz w:val="24"/>
          <w:szCs w:val="24"/>
        </w:rPr>
        <w:t>Landing Zone V2 brings in the ability of provisioning multiple VCNs, either in standalone mode or as constituent parts of a Hub and Spoke architecture. The VCNs can either follow a general purpose standard three-tier network topology or oriented towards specific topologies, like supporting Oracle Database Exadata Cloud Service deployments. They are out-of-box configured with the necessary routing, with their inbound and outbound interfaces properly secured.</w:t>
      </w:r>
    </w:p>
    <w:p w14:paraId="7325F129" w14:textId="77777777" w:rsidR="0026368A" w:rsidRPr="001003D3" w:rsidRDefault="0026368A" w:rsidP="00BA507A">
      <w:pPr>
        <w:pStyle w:val="NoSpacing"/>
        <w:shd w:val="clear" w:color="auto" w:fill="FFFFFF" w:themeFill="background1"/>
        <w:spacing w:line="360" w:lineRule="auto"/>
        <w:rPr>
          <w:rFonts w:ascii="Arial" w:eastAsiaTheme="majorEastAsia" w:hAnsi="Arial" w:cs="Arial"/>
          <w:sz w:val="24"/>
          <w:szCs w:val="24"/>
        </w:rPr>
      </w:pPr>
    </w:p>
    <w:p w14:paraId="11A1ABF5" w14:textId="77777777" w:rsidR="00F61C66" w:rsidRPr="001003D3" w:rsidRDefault="00F61C66" w:rsidP="00BA507A">
      <w:pPr>
        <w:pStyle w:val="NoSpacing"/>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sz w:val="24"/>
          <w:szCs w:val="24"/>
        </w:rPr>
        <w:t>The Landing Zone includes various preconfigured security services that can be deployed in tandem with the overall architecture for a strong security posture. These services are Oracle Cloud Guard, Flow Logs, Oracle Cloud Infrastructure Service Connector Hub, Vault with customer managed keys, Vulnerability Scanning, and Oracle Cloud Infrastructure Bastion service. Notifications are set using Topics and Events for alerting administrators about changes in the deployed resources.</w:t>
      </w:r>
    </w:p>
    <w:p w14:paraId="024E8570" w14:textId="77777777" w:rsidR="0026368A" w:rsidRPr="001003D3" w:rsidRDefault="0026368A" w:rsidP="00BA507A">
      <w:pPr>
        <w:pStyle w:val="NoSpacing"/>
        <w:shd w:val="clear" w:color="auto" w:fill="FFFFFF" w:themeFill="background1"/>
        <w:spacing w:line="360" w:lineRule="auto"/>
        <w:rPr>
          <w:rFonts w:ascii="Arial" w:eastAsiaTheme="majorEastAsia" w:hAnsi="Arial" w:cs="Arial"/>
          <w:sz w:val="24"/>
          <w:szCs w:val="24"/>
        </w:rPr>
      </w:pPr>
    </w:p>
    <w:p w14:paraId="1961CC57" w14:textId="77777777" w:rsidR="00F61C66" w:rsidRPr="001003D3" w:rsidRDefault="00F61C66" w:rsidP="00BA507A">
      <w:pPr>
        <w:pStyle w:val="NoSpacing"/>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sz w:val="24"/>
          <w:szCs w:val="24"/>
        </w:rPr>
        <w:t>The following diagram illustrates this reference architecture.</w:t>
      </w:r>
    </w:p>
    <w:p w14:paraId="57E8F75A" w14:textId="77777777" w:rsidR="00CC1532" w:rsidRPr="001003D3" w:rsidRDefault="00CC1532" w:rsidP="00BA507A">
      <w:pPr>
        <w:pStyle w:val="NoSpacing"/>
        <w:shd w:val="clear" w:color="auto" w:fill="FFFFFF" w:themeFill="background1"/>
        <w:spacing w:line="360" w:lineRule="auto"/>
        <w:rPr>
          <w:rFonts w:ascii="Arial" w:eastAsiaTheme="majorEastAsia" w:hAnsi="Arial" w:cs="Arial"/>
          <w:sz w:val="24"/>
          <w:szCs w:val="24"/>
        </w:rPr>
      </w:pPr>
    </w:p>
    <w:p w14:paraId="1F662F0F" w14:textId="77777777" w:rsidR="00CC1532" w:rsidRPr="001003D3" w:rsidRDefault="00CC1532" w:rsidP="00BA507A">
      <w:pPr>
        <w:pStyle w:val="NoSpacing"/>
        <w:shd w:val="clear" w:color="auto" w:fill="FFFFFF" w:themeFill="background1"/>
        <w:spacing w:line="360" w:lineRule="auto"/>
        <w:rPr>
          <w:rFonts w:ascii="Arial" w:eastAsiaTheme="majorEastAsia" w:hAnsi="Arial" w:cs="Arial"/>
          <w:sz w:val="24"/>
          <w:szCs w:val="24"/>
        </w:rPr>
      </w:pPr>
    </w:p>
    <w:p w14:paraId="2E28137D" w14:textId="77777777" w:rsidR="00CC1532" w:rsidRPr="001003D3" w:rsidRDefault="00CC1532" w:rsidP="00BA507A">
      <w:pPr>
        <w:pStyle w:val="NoSpacing"/>
        <w:shd w:val="clear" w:color="auto" w:fill="FFFFFF" w:themeFill="background1"/>
        <w:spacing w:line="360" w:lineRule="auto"/>
        <w:rPr>
          <w:rFonts w:ascii="Arial" w:eastAsiaTheme="majorEastAsia" w:hAnsi="Arial" w:cs="Arial"/>
          <w:sz w:val="24"/>
          <w:szCs w:val="24"/>
        </w:rPr>
      </w:pPr>
    </w:p>
    <w:p w14:paraId="52806F5C" w14:textId="77777777" w:rsidR="00CC1532" w:rsidRPr="001003D3" w:rsidRDefault="00CC1532" w:rsidP="00BA507A">
      <w:pPr>
        <w:pStyle w:val="NoSpacing"/>
        <w:shd w:val="clear" w:color="auto" w:fill="FFFFFF" w:themeFill="background1"/>
        <w:spacing w:line="360" w:lineRule="auto"/>
        <w:rPr>
          <w:rFonts w:ascii="Arial" w:eastAsiaTheme="majorEastAsia" w:hAnsi="Arial" w:cs="Arial"/>
          <w:sz w:val="24"/>
          <w:szCs w:val="24"/>
        </w:rPr>
      </w:pPr>
    </w:p>
    <w:p w14:paraId="243D0B2B" w14:textId="77777777" w:rsidR="00CC1532" w:rsidRPr="001003D3" w:rsidRDefault="00CC1532" w:rsidP="00BA507A">
      <w:pPr>
        <w:pStyle w:val="NoSpacing"/>
        <w:shd w:val="clear" w:color="auto" w:fill="FFFFFF" w:themeFill="background1"/>
        <w:spacing w:line="360" w:lineRule="auto"/>
        <w:rPr>
          <w:rFonts w:ascii="Arial" w:eastAsiaTheme="majorEastAsia" w:hAnsi="Arial" w:cs="Arial"/>
          <w:sz w:val="24"/>
          <w:szCs w:val="24"/>
        </w:rPr>
      </w:pPr>
    </w:p>
    <w:p w14:paraId="54E235EE" w14:textId="77777777" w:rsidR="00F61C66" w:rsidRPr="001003D3" w:rsidRDefault="00CC1532" w:rsidP="00BA507A">
      <w:pPr>
        <w:pStyle w:val="NoSpacing"/>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noProof/>
          <w:sz w:val="24"/>
          <w:szCs w:val="24"/>
          <w:lang w:val="en-GB" w:eastAsia="en-GB"/>
        </w:rPr>
        <w:drawing>
          <wp:inline distT="0" distB="0" distL="0" distR="0" wp14:anchorId="0015B820" wp14:editId="5C4562DD">
            <wp:extent cx="6296025" cy="469582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6296025" cy="4695825"/>
                    </a:xfrm>
                    <a:prstGeom prst="rect">
                      <a:avLst/>
                    </a:prstGeom>
                    <a:noFill/>
                    <a:ln w="9525">
                      <a:noFill/>
                      <a:miter lim="800000"/>
                      <a:headEnd/>
                      <a:tailEnd/>
                    </a:ln>
                  </pic:spPr>
                </pic:pic>
              </a:graphicData>
            </a:graphic>
          </wp:inline>
        </w:drawing>
      </w:r>
    </w:p>
    <w:p w14:paraId="053BC5FA" w14:textId="77777777" w:rsidR="00CC1532" w:rsidRPr="001003D3" w:rsidRDefault="00CC1532" w:rsidP="00BA507A">
      <w:pPr>
        <w:pStyle w:val="NoSpacing"/>
        <w:shd w:val="clear" w:color="auto" w:fill="FFFFFF" w:themeFill="background1"/>
        <w:spacing w:line="360" w:lineRule="auto"/>
        <w:rPr>
          <w:rFonts w:ascii="Arial" w:eastAsiaTheme="majorEastAsia" w:hAnsi="Arial" w:cs="Arial"/>
          <w:sz w:val="24"/>
          <w:szCs w:val="24"/>
        </w:rPr>
      </w:pPr>
    </w:p>
    <w:p w14:paraId="6126CB7B" w14:textId="77777777" w:rsidR="00912F2F" w:rsidRPr="001003D3" w:rsidRDefault="00912F2F" w:rsidP="00BA507A">
      <w:pPr>
        <w:pStyle w:val="NoSpacing"/>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sz w:val="24"/>
          <w:szCs w:val="24"/>
        </w:rPr>
        <w:t>The architecture has the following components:</w:t>
      </w:r>
    </w:p>
    <w:p w14:paraId="28590859" w14:textId="77777777" w:rsidR="00912F2F" w:rsidRPr="001003D3" w:rsidRDefault="00912F2F" w:rsidP="00BA507A">
      <w:pPr>
        <w:pStyle w:val="NoSpacing"/>
        <w:numPr>
          <w:ilvl w:val="0"/>
          <w:numId w:val="123"/>
        </w:numPr>
        <w:spacing w:line="360" w:lineRule="auto"/>
        <w:rPr>
          <w:rFonts w:ascii="Arial" w:eastAsiaTheme="majorEastAsia" w:hAnsi="Arial" w:cs="Arial"/>
          <w:b/>
          <w:bCs/>
          <w:sz w:val="24"/>
          <w:szCs w:val="24"/>
        </w:rPr>
      </w:pPr>
      <w:r w:rsidRPr="001003D3">
        <w:rPr>
          <w:rFonts w:ascii="Arial" w:eastAsiaTheme="majorEastAsia" w:hAnsi="Arial" w:cs="Arial"/>
          <w:b/>
          <w:bCs/>
          <w:sz w:val="24"/>
          <w:szCs w:val="24"/>
        </w:rPr>
        <w:t>Tenancy</w:t>
      </w:r>
    </w:p>
    <w:p w14:paraId="7AA20FED" w14:textId="77777777" w:rsidR="00912F2F" w:rsidRPr="001003D3" w:rsidRDefault="00912F2F"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A tenancy is a secure and isolated partition that Oracle sets up within Oracle Cloud when you sign up for Oracle Cloud Infrastructure. You can create, organize, and administer your resources in Oracle Cloud within your tenancy.</w:t>
      </w:r>
    </w:p>
    <w:p w14:paraId="3649EFE2" w14:textId="77777777" w:rsidR="00912F2F" w:rsidRPr="001003D3" w:rsidRDefault="00912F2F" w:rsidP="00BA507A">
      <w:pPr>
        <w:pStyle w:val="NoSpacing"/>
        <w:numPr>
          <w:ilvl w:val="0"/>
          <w:numId w:val="123"/>
        </w:numPr>
        <w:spacing w:line="360" w:lineRule="auto"/>
        <w:rPr>
          <w:rFonts w:ascii="Arial" w:eastAsiaTheme="majorEastAsia" w:hAnsi="Arial" w:cs="Arial"/>
          <w:b/>
          <w:bCs/>
          <w:sz w:val="24"/>
          <w:szCs w:val="24"/>
        </w:rPr>
      </w:pPr>
      <w:r w:rsidRPr="001003D3">
        <w:rPr>
          <w:rFonts w:ascii="Arial" w:eastAsiaTheme="majorEastAsia" w:hAnsi="Arial" w:cs="Arial"/>
          <w:b/>
          <w:bCs/>
          <w:sz w:val="24"/>
          <w:szCs w:val="24"/>
        </w:rPr>
        <w:t>Policies</w:t>
      </w:r>
    </w:p>
    <w:p w14:paraId="4D848372" w14:textId="77777777" w:rsidR="00912F2F" w:rsidRPr="001003D3" w:rsidRDefault="00912F2F"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An Oracle Cloud Infrastructure Identity and Access Management policy specifies who can access which resources, and how. Access is granted at the group and compartment level, which means you, can write a policy that gives a group a specific type of access within a specific compartment, or to the tenancy.</w:t>
      </w:r>
    </w:p>
    <w:p w14:paraId="6FB39E27" w14:textId="77777777" w:rsidR="00CC1532" w:rsidRPr="001003D3" w:rsidRDefault="00CC1532" w:rsidP="00BA507A">
      <w:pPr>
        <w:spacing w:line="360" w:lineRule="auto"/>
        <w:rPr>
          <w:rFonts w:ascii="Arial" w:eastAsiaTheme="majorEastAsia" w:hAnsi="Arial" w:cs="Arial"/>
          <w:sz w:val="24"/>
          <w:szCs w:val="24"/>
        </w:rPr>
      </w:pPr>
    </w:p>
    <w:p w14:paraId="58C73407" w14:textId="77777777" w:rsidR="00912F2F" w:rsidRPr="001003D3" w:rsidRDefault="00912F2F" w:rsidP="00BA507A">
      <w:pPr>
        <w:pStyle w:val="NoSpacing"/>
        <w:numPr>
          <w:ilvl w:val="0"/>
          <w:numId w:val="123"/>
        </w:numPr>
        <w:spacing w:line="360" w:lineRule="auto"/>
        <w:rPr>
          <w:rFonts w:ascii="Arial" w:eastAsiaTheme="majorEastAsia" w:hAnsi="Arial" w:cs="Arial"/>
          <w:b/>
          <w:bCs/>
          <w:sz w:val="24"/>
          <w:szCs w:val="24"/>
        </w:rPr>
      </w:pPr>
      <w:r w:rsidRPr="001003D3">
        <w:rPr>
          <w:rFonts w:ascii="Arial" w:eastAsiaTheme="majorEastAsia" w:hAnsi="Arial" w:cs="Arial"/>
          <w:b/>
          <w:bCs/>
          <w:sz w:val="24"/>
          <w:szCs w:val="24"/>
        </w:rPr>
        <w:t>Compartments</w:t>
      </w:r>
    </w:p>
    <w:p w14:paraId="6D23E61A" w14:textId="77777777" w:rsidR="00912F2F" w:rsidRPr="001003D3" w:rsidRDefault="00912F2F"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Compartments are cross-region logical partitions within an Oracle Cloud Infrastructure tenancy. Use compartments to organize your resources in Oracle Cloud, control access to the resources, and set usage quotas. To control access to the resources in a given</w:t>
      </w:r>
    </w:p>
    <w:p w14:paraId="153F736D" w14:textId="77777777" w:rsidR="00BA507A" w:rsidRPr="001003D3" w:rsidRDefault="00BA507A" w:rsidP="00BA507A">
      <w:pPr>
        <w:spacing w:line="360" w:lineRule="auto"/>
        <w:rPr>
          <w:rFonts w:ascii="Arial" w:eastAsiaTheme="majorEastAsia" w:hAnsi="Arial" w:cs="Arial"/>
          <w:sz w:val="24"/>
          <w:szCs w:val="24"/>
        </w:rPr>
      </w:pPr>
    </w:p>
    <w:p w14:paraId="3E3BD95D" w14:textId="77777777" w:rsidR="00C4331F" w:rsidRPr="001003D3" w:rsidRDefault="00C4331F"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compartment, you define policies that specify who can access the resources and what actions they can perform.</w:t>
      </w:r>
    </w:p>
    <w:p w14:paraId="190EAA8A" w14:textId="77777777" w:rsidR="00C4331F" w:rsidRPr="001003D3" w:rsidRDefault="00C4331F"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The resources in this landing zone template are provisioned in the following compartments:</w:t>
      </w:r>
    </w:p>
    <w:p w14:paraId="62B13D3B" w14:textId="77777777" w:rsidR="00C4331F" w:rsidRPr="001003D3" w:rsidRDefault="00C4331F" w:rsidP="00BA507A">
      <w:pPr>
        <w:pStyle w:val="ListParagraph"/>
        <w:numPr>
          <w:ilvl w:val="0"/>
          <w:numId w:val="122"/>
        </w:numPr>
        <w:spacing w:line="360" w:lineRule="auto"/>
        <w:rPr>
          <w:rFonts w:ascii="Arial" w:eastAsiaTheme="majorEastAsia" w:hAnsi="Arial" w:cs="Arial"/>
          <w:sz w:val="24"/>
          <w:szCs w:val="24"/>
        </w:rPr>
      </w:pPr>
      <w:r w:rsidRPr="001003D3">
        <w:rPr>
          <w:rFonts w:ascii="Arial" w:eastAsiaTheme="majorEastAsia" w:hAnsi="Arial" w:cs="Arial"/>
          <w:sz w:val="24"/>
          <w:szCs w:val="24"/>
        </w:rPr>
        <w:t>A Network compartment for all the networking resources, including the required network gateways.</w:t>
      </w:r>
    </w:p>
    <w:p w14:paraId="4486FD1D" w14:textId="77777777" w:rsidR="00C4331F" w:rsidRPr="001003D3" w:rsidRDefault="00C4331F" w:rsidP="00BA507A">
      <w:pPr>
        <w:pStyle w:val="ListParagraph"/>
        <w:numPr>
          <w:ilvl w:val="0"/>
          <w:numId w:val="122"/>
        </w:numPr>
        <w:spacing w:line="360" w:lineRule="auto"/>
        <w:rPr>
          <w:rFonts w:ascii="Arial" w:eastAsiaTheme="majorEastAsia" w:hAnsi="Arial" w:cs="Arial"/>
          <w:sz w:val="24"/>
          <w:szCs w:val="24"/>
        </w:rPr>
      </w:pPr>
      <w:r w:rsidRPr="001003D3">
        <w:rPr>
          <w:rFonts w:ascii="Arial" w:eastAsiaTheme="majorEastAsia" w:hAnsi="Arial" w:cs="Arial"/>
          <w:sz w:val="24"/>
          <w:szCs w:val="24"/>
        </w:rPr>
        <w:t>A Security compartment for the logging, key management, and notifications resources.</w:t>
      </w:r>
    </w:p>
    <w:p w14:paraId="09A924F8" w14:textId="77777777" w:rsidR="00C4331F" w:rsidRPr="001003D3" w:rsidRDefault="00C4331F" w:rsidP="00BA507A">
      <w:pPr>
        <w:pStyle w:val="ListParagraph"/>
        <w:numPr>
          <w:ilvl w:val="0"/>
          <w:numId w:val="122"/>
        </w:numPr>
        <w:spacing w:line="360" w:lineRule="auto"/>
        <w:rPr>
          <w:rFonts w:ascii="Arial" w:eastAsiaTheme="majorEastAsia" w:hAnsi="Arial" w:cs="Arial"/>
          <w:sz w:val="24"/>
          <w:szCs w:val="24"/>
        </w:rPr>
      </w:pPr>
      <w:r w:rsidRPr="001003D3">
        <w:rPr>
          <w:rFonts w:ascii="Arial" w:eastAsiaTheme="majorEastAsia" w:hAnsi="Arial" w:cs="Arial"/>
          <w:sz w:val="24"/>
          <w:szCs w:val="24"/>
        </w:rPr>
        <w:t>An AppDev compartment for the application-related services, including compute, storage, functions, streams, Kubernetes nodes, API gateway, and so on.</w:t>
      </w:r>
    </w:p>
    <w:p w14:paraId="38FBF2FE" w14:textId="77777777" w:rsidR="00C4331F" w:rsidRPr="001003D3" w:rsidRDefault="00C4331F" w:rsidP="00BA507A">
      <w:pPr>
        <w:pStyle w:val="ListParagraph"/>
        <w:numPr>
          <w:ilvl w:val="0"/>
          <w:numId w:val="122"/>
        </w:numPr>
        <w:spacing w:line="360" w:lineRule="auto"/>
        <w:rPr>
          <w:rFonts w:ascii="Arial" w:eastAsiaTheme="majorEastAsia" w:hAnsi="Arial" w:cs="Arial"/>
          <w:sz w:val="24"/>
          <w:szCs w:val="24"/>
        </w:rPr>
      </w:pPr>
      <w:r w:rsidRPr="001003D3">
        <w:rPr>
          <w:rFonts w:ascii="Arial" w:eastAsiaTheme="majorEastAsia" w:hAnsi="Arial" w:cs="Arial"/>
          <w:sz w:val="24"/>
          <w:szCs w:val="24"/>
        </w:rPr>
        <w:t>A Database compartment for all database resources.</w:t>
      </w:r>
    </w:p>
    <w:p w14:paraId="34A5DD41" w14:textId="77777777" w:rsidR="00C4331F" w:rsidRPr="001003D3" w:rsidRDefault="00C4331F" w:rsidP="00BA507A">
      <w:pPr>
        <w:pStyle w:val="ListParagraph"/>
        <w:numPr>
          <w:ilvl w:val="0"/>
          <w:numId w:val="122"/>
        </w:numPr>
        <w:spacing w:line="360" w:lineRule="auto"/>
        <w:rPr>
          <w:rFonts w:ascii="Arial" w:eastAsiaTheme="majorEastAsia" w:hAnsi="Arial" w:cs="Arial"/>
          <w:sz w:val="24"/>
          <w:szCs w:val="24"/>
        </w:rPr>
      </w:pPr>
      <w:r w:rsidRPr="001003D3">
        <w:rPr>
          <w:rFonts w:ascii="Arial" w:eastAsiaTheme="majorEastAsia" w:hAnsi="Arial" w:cs="Arial"/>
          <w:sz w:val="24"/>
          <w:szCs w:val="24"/>
        </w:rPr>
        <w:t>An optional compartment for Exadata Cloud Service infrastructure.</w:t>
      </w:r>
    </w:p>
    <w:p w14:paraId="5A25DE6E" w14:textId="77777777" w:rsidR="00C4331F" w:rsidRPr="001003D3" w:rsidRDefault="00C4331F"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The greyed out icons in the diagram indicate services that are not provisioned by the template.</w:t>
      </w:r>
    </w:p>
    <w:p w14:paraId="79D2F74D" w14:textId="77777777" w:rsidR="00F61C66" w:rsidRPr="001003D3" w:rsidRDefault="00C4331F"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This compartment design reflects a basic functional structure observed across different organizations, where IT responsibilities are typically separated among networking, security, application development, and database administrators.</w:t>
      </w:r>
    </w:p>
    <w:p w14:paraId="2D6640E8" w14:textId="77777777" w:rsidR="007C5C6A" w:rsidRPr="001003D3" w:rsidRDefault="007C5C6A" w:rsidP="00BA507A">
      <w:pPr>
        <w:pStyle w:val="NoSpacing"/>
        <w:numPr>
          <w:ilvl w:val="0"/>
          <w:numId w:val="123"/>
        </w:numPr>
        <w:spacing w:line="360" w:lineRule="auto"/>
        <w:rPr>
          <w:rFonts w:ascii="Arial" w:eastAsiaTheme="majorEastAsia" w:hAnsi="Arial" w:cs="Arial"/>
          <w:b/>
          <w:bCs/>
          <w:sz w:val="24"/>
          <w:szCs w:val="24"/>
        </w:rPr>
      </w:pPr>
      <w:r w:rsidRPr="001003D3">
        <w:rPr>
          <w:rFonts w:ascii="Arial" w:eastAsiaTheme="majorEastAsia" w:hAnsi="Arial" w:cs="Arial"/>
          <w:b/>
          <w:bCs/>
          <w:sz w:val="24"/>
          <w:szCs w:val="24"/>
        </w:rPr>
        <w:t>Virtual cloud network (VCN) and subnets</w:t>
      </w:r>
    </w:p>
    <w:p w14:paraId="46D4C88A" w14:textId="77777777" w:rsidR="007C5C6A" w:rsidRPr="001003D3" w:rsidRDefault="007C5C6A"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A VCN is a customizable, software-defined network that you set up in an Oracle Cloud Infrastructure region. Like traditional data center networks, VCNs give you complete control over your network environment. A VCN can have multiple non-overlapping CIDR blocks that you can change after you create the VCN. You can segment a VCN into subnets, which can be scoped to a region or to an availability domain. Each subnet consists of a contiguous range of addresses that don't overlap with the other subnets in the VCN. You can change the size of a subnet after creation. A subnet can be public or private.</w:t>
      </w:r>
    </w:p>
    <w:p w14:paraId="6C1E422D" w14:textId="77777777" w:rsidR="007C5C6A" w:rsidRPr="001003D3" w:rsidRDefault="007C5C6A" w:rsidP="00BA507A">
      <w:pPr>
        <w:spacing w:line="360" w:lineRule="auto"/>
        <w:rPr>
          <w:rFonts w:ascii="Arial" w:eastAsiaTheme="majorEastAsia" w:hAnsi="Arial" w:cs="Arial"/>
          <w:sz w:val="24"/>
          <w:szCs w:val="24"/>
        </w:rPr>
      </w:pPr>
      <w:r w:rsidRPr="001003D3">
        <w:rPr>
          <w:rFonts w:ascii="Arial" w:eastAsiaTheme="majorEastAsia" w:hAnsi="Arial" w:cs="Arial"/>
          <w:sz w:val="24"/>
          <w:szCs w:val="24"/>
        </w:rPr>
        <w:t>By default, the template deploys a general purpose standard three-tier VCN with one public subnet and two private subnets. A public subnet is used for the load balancers and bastion servers. The application and database tiers are attached to separate private subnets. The template can also create VCNs to support the deployment of specific workloads, like Oracle Database Exadata Cloud Service.</w:t>
      </w:r>
    </w:p>
    <w:p w14:paraId="5FDDB5B3" w14:textId="77777777" w:rsidR="007C5C6A" w:rsidRPr="001003D3" w:rsidRDefault="007C5C6A" w:rsidP="00BA507A">
      <w:pPr>
        <w:pStyle w:val="NoSpacing"/>
        <w:numPr>
          <w:ilvl w:val="0"/>
          <w:numId w:val="123"/>
        </w:numPr>
        <w:spacing w:line="360" w:lineRule="auto"/>
        <w:rPr>
          <w:rFonts w:ascii="Arial" w:eastAsiaTheme="majorEastAsia" w:hAnsi="Arial" w:cs="Arial"/>
          <w:b/>
          <w:bCs/>
          <w:sz w:val="24"/>
          <w:szCs w:val="24"/>
        </w:rPr>
      </w:pPr>
      <w:r w:rsidRPr="001003D3">
        <w:rPr>
          <w:rFonts w:ascii="Arial" w:eastAsiaTheme="majorEastAsia" w:hAnsi="Arial" w:cs="Arial"/>
          <w:b/>
          <w:sz w:val="24"/>
          <w:szCs w:val="24"/>
        </w:rPr>
        <w:t>Internet gateway</w:t>
      </w:r>
    </w:p>
    <w:p w14:paraId="57908FE2" w14:textId="77777777" w:rsidR="00394EAB" w:rsidRPr="001003D3" w:rsidRDefault="00394EAB" w:rsidP="00BA507A">
      <w:pPr>
        <w:pStyle w:val="NoSpacing"/>
        <w:spacing w:line="360" w:lineRule="auto"/>
        <w:rPr>
          <w:rFonts w:ascii="Arial" w:eastAsiaTheme="majorEastAsia" w:hAnsi="Arial" w:cs="Arial"/>
          <w:sz w:val="24"/>
          <w:szCs w:val="24"/>
        </w:rPr>
      </w:pPr>
      <w:r w:rsidRPr="001003D3">
        <w:rPr>
          <w:rFonts w:ascii="Arial" w:eastAsiaTheme="majorEastAsia" w:hAnsi="Arial" w:cs="Arial"/>
          <w:sz w:val="24"/>
          <w:szCs w:val="24"/>
        </w:rPr>
        <w:t>The internet gateway allows traffic between the public subnets in a VCN and the public internet.</w:t>
      </w:r>
    </w:p>
    <w:p w14:paraId="5FECB49B" w14:textId="77777777" w:rsidR="00394EAB" w:rsidRPr="001003D3" w:rsidRDefault="00394EAB"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Dynamic routing gateway (DRG)</w:t>
      </w:r>
    </w:p>
    <w:p w14:paraId="16D9808B" w14:textId="77777777" w:rsidR="00394EAB" w:rsidRPr="001003D3" w:rsidRDefault="00394EAB" w:rsidP="00BA507A">
      <w:pPr>
        <w:pStyle w:val="NormalWeb"/>
        <w:shd w:val="clear" w:color="auto" w:fill="FFFFFF" w:themeFill="background1"/>
        <w:spacing w:before="0" w:beforeAutospacing="0" w:after="120" w:afterAutospacing="0" w:line="360" w:lineRule="auto"/>
        <w:rPr>
          <w:rFonts w:ascii="Arial" w:eastAsiaTheme="majorEastAsia" w:hAnsi="Arial" w:cs="Arial"/>
          <w:b/>
        </w:rPr>
      </w:pPr>
      <w:r w:rsidRPr="001003D3">
        <w:rPr>
          <w:rFonts w:ascii="Arial" w:eastAsiaTheme="majorEastAsia" w:hAnsi="Arial" w:cs="Arial"/>
          <w:lang w:eastAsia="en-US"/>
        </w:rPr>
        <w:t>The DRG is a virtual router that provides a path for private network traffic between on-premises networks and VCNs and can also be used to route traffic between VCNs in the same region or across regions.</w:t>
      </w:r>
    </w:p>
    <w:p w14:paraId="31250CFE" w14:textId="77777777" w:rsidR="00394EAB" w:rsidRPr="001003D3" w:rsidRDefault="00394EAB"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NAT gateway</w:t>
      </w:r>
    </w:p>
    <w:p w14:paraId="75704476" w14:textId="77777777" w:rsidR="00394EAB" w:rsidRPr="001003D3" w:rsidRDefault="00394EAB"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A NAT gateway enables private resources in a VCN to access hosts on the internet, without exposing those resources to incoming internet connections.</w:t>
      </w:r>
    </w:p>
    <w:p w14:paraId="6EFF5B0D" w14:textId="77777777" w:rsidR="00394EAB" w:rsidRPr="001003D3" w:rsidRDefault="00394EAB" w:rsidP="00BA507A">
      <w:pPr>
        <w:pStyle w:val="NoSpacing"/>
        <w:numPr>
          <w:ilvl w:val="0"/>
          <w:numId w:val="123"/>
        </w:numPr>
        <w:spacing w:line="360" w:lineRule="auto"/>
        <w:rPr>
          <w:rFonts w:ascii="Arial" w:eastAsiaTheme="majorEastAsia" w:hAnsi="Arial" w:cs="Arial"/>
          <w:b/>
          <w:bCs/>
          <w:sz w:val="24"/>
          <w:szCs w:val="24"/>
        </w:rPr>
      </w:pPr>
      <w:r w:rsidRPr="001003D3">
        <w:rPr>
          <w:rFonts w:ascii="Arial" w:eastAsiaTheme="majorEastAsia" w:hAnsi="Arial" w:cs="Arial"/>
          <w:b/>
          <w:sz w:val="24"/>
          <w:szCs w:val="24"/>
        </w:rPr>
        <w:t>Service gateway</w:t>
      </w:r>
    </w:p>
    <w:p w14:paraId="5554E90C" w14:textId="77777777" w:rsidR="00394EAB" w:rsidRPr="001003D3" w:rsidRDefault="00394EAB" w:rsidP="00BA507A">
      <w:pPr>
        <w:pStyle w:val="NormalWeb"/>
        <w:shd w:val="clear" w:color="auto" w:fill="FFFFFF" w:themeFill="background1"/>
        <w:spacing w:before="0" w:beforeAutospacing="0" w:after="120" w:afterAutospacing="0" w:line="360" w:lineRule="auto"/>
        <w:rPr>
          <w:rFonts w:ascii="Arial" w:hAnsi="Arial" w:cs="Arial"/>
        </w:rPr>
      </w:pPr>
      <w:r w:rsidRPr="001003D3">
        <w:rPr>
          <w:rFonts w:ascii="Arial" w:eastAsiaTheme="majorEastAsia" w:hAnsi="Arial" w:cs="Arial"/>
          <w:lang w:eastAsia="en-US"/>
        </w:rPr>
        <w:t>The service gateway provides access from a VCN to other services, such as Oracle Cloud Infrastructure Object Storage. The traffic from the VCN to the Oracle service travels over the Oracle network fabric and never traverses the internet</w:t>
      </w:r>
      <w:r w:rsidRPr="001003D3">
        <w:rPr>
          <w:rFonts w:ascii="Arial" w:hAnsi="Arial" w:cs="Arial"/>
        </w:rPr>
        <w:t>.</w:t>
      </w:r>
    </w:p>
    <w:p w14:paraId="357D5DC8" w14:textId="77777777" w:rsidR="00394EAB" w:rsidRPr="001003D3" w:rsidRDefault="00394EAB"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Oracle services network</w:t>
      </w:r>
    </w:p>
    <w:p w14:paraId="25839521" w14:textId="77777777" w:rsidR="00394EAB" w:rsidRPr="001003D3" w:rsidRDefault="00D43941" w:rsidP="00BA507A">
      <w:pPr>
        <w:pStyle w:val="NoSpacing"/>
        <w:spacing w:line="360" w:lineRule="auto"/>
        <w:rPr>
          <w:rFonts w:ascii="Arial" w:eastAsiaTheme="majorEastAsia" w:hAnsi="Arial" w:cs="Arial"/>
          <w:sz w:val="24"/>
          <w:szCs w:val="24"/>
        </w:rPr>
      </w:pPr>
      <w:r w:rsidRPr="001003D3">
        <w:rPr>
          <w:rFonts w:ascii="Arial" w:eastAsiaTheme="majorEastAsia" w:hAnsi="Arial" w:cs="Arial"/>
          <w:sz w:val="24"/>
          <w:szCs w:val="24"/>
        </w:rPr>
        <w:t>The Oracle services network (OSN) is a conceptual network in Oracle Cloud Infrastructure that is reserved for Oracle services. These services have public IP addresses that you can reach over the internet. Hosts outside Oracle Cloud can access the OSN privately by using Oracle Cloud Infrastructure FastConnect or VPN Connect. Hosts in your VCNs can access the OSN privately through a service gateway</w:t>
      </w:r>
    </w:p>
    <w:p w14:paraId="43FCD3CD" w14:textId="77777777" w:rsidR="00D43941" w:rsidRPr="001003D3" w:rsidRDefault="00D43941"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Network security groups (NSGs)</w:t>
      </w:r>
    </w:p>
    <w:p w14:paraId="55563DE2" w14:textId="77777777" w:rsidR="00D43941" w:rsidRPr="001003D3" w:rsidRDefault="00D43941"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NSGs act as virtual firewalls for your cloud resources. With the zero-trust security model of Oracle Cloud Infrastructure, all traffic is denied, and you can control the network traffic inside a VCN. An NSG consists of a set of ingress and egress security rules that apply to only a specified set of VNICs in a single VCN.</w:t>
      </w:r>
    </w:p>
    <w:p w14:paraId="6890DBD8" w14:textId="77777777" w:rsidR="00D43941" w:rsidRPr="001003D3" w:rsidRDefault="00D43941"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Events</w:t>
      </w:r>
    </w:p>
    <w:p w14:paraId="184ED805" w14:textId="77777777" w:rsidR="00D43941" w:rsidRPr="001003D3" w:rsidRDefault="00D43941"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Oracle Cloud Infrastructure services emit events, which are structured messages that describe the changes in resources. Events are emitted for create, read, update, or delete (CRUD) operations, resource lifecycle state changes, and system events that affect cloud resources.</w:t>
      </w:r>
    </w:p>
    <w:p w14:paraId="23C1F689" w14:textId="77777777" w:rsidR="00D43941" w:rsidRPr="001003D3" w:rsidRDefault="00D43941"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Notifications</w:t>
      </w:r>
    </w:p>
    <w:p w14:paraId="631B9A84" w14:textId="77777777" w:rsidR="00D43941" w:rsidRPr="001003D3" w:rsidRDefault="00D43941"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The Oracle Cloud Infrastructure Notifications service broadcasts messages to distributed components through a publish-subscribe pattern, delivering secure, highly reliable, low latency, and durable messages for applications hosted on Oracle Cloud Infrastructure.</w:t>
      </w:r>
    </w:p>
    <w:p w14:paraId="3503B55C" w14:textId="77777777" w:rsidR="00D43941" w:rsidRPr="001003D3" w:rsidRDefault="00D43941"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Vault</w:t>
      </w:r>
    </w:p>
    <w:p w14:paraId="6A516A7A" w14:textId="77777777" w:rsidR="00D43941" w:rsidRPr="001003D3" w:rsidRDefault="00D43941"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Oracle Cloud Infrastructure Vault enables you to centrally manage the encryption keys that protect your data and the secret credentials that you use to secure access to your resources in the cloud.</w:t>
      </w:r>
    </w:p>
    <w:p w14:paraId="506EC547" w14:textId="77777777" w:rsidR="00D43941" w:rsidRPr="001003D3" w:rsidRDefault="00D43941"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Logs</w:t>
      </w:r>
    </w:p>
    <w:p w14:paraId="44931168" w14:textId="77777777" w:rsidR="00D43941" w:rsidRPr="001003D3" w:rsidRDefault="00D43941" w:rsidP="00BA507A">
      <w:pPr>
        <w:shd w:val="clear" w:color="auto" w:fill="FFFFFF" w:themeFill="background1"/>
        <w:spacing w:before="120" w:after="120" w:line="360" w:lineRule="auto"/>
        <w:rPr>
          <w:rFonts w:ascii="Arial" w:eastAsiaTheme="majorEastAsia" w:hAnsi="Arial" w:cs="Arial"/>
          <w:sz w:val="24"/>
          <w:szCs w:val="24"/>
        </w:rPr>
      </w:pPr>
      <w:r w:rsidRPr="001003D3">
        <w:rPr>
          <w:rFonts w:ascii="Arial" w:eastAsiaTheme="majorEastAsia" w:hAnsi="Arial" w:cs="Arial"/>
          <w:sz w:val="24"/>
          <w:szCs w:val="24"/>
        </w:rPr>
        <w:t>Logging is a highly scalable and fully managed service that provides access to the following types of logs from your resources in the cloud:</w:t>
      </w:r>
    </w:p>
    <w:p w14:paraId="590F89BD" w14:textId="77777777" w:rsidR="00D43941" w:rsidRPr="001003D3" w:rsidRDefault="00D43941" w:rsidP="00BA507A">
      <w:pPr>
        <w:pStyle w:val="ListParagraph"/>
        <w:numPr>
          <w:ilvl w:val="0"/>
          <w:numId w:val="123"/>
        </w:numPr>
        <w:shd w:val="clear" w:color="auto" w:fill="FFFFFF" w:themeFill="background1"/>
        <w:spacing w:before="120" w:after="120" w:line="360" w:lineRule="auto"/>
        <w:rPr>
          <w:rFonts w:ascii="Arial" w:eastAsiaTheme="majorEastAsia" w:hAnsi="Arial" w:cs="Arial"/>
          <w:sz w:val="24"/>
          <w:szCs w:val="24"/>
        </w:rPr>
      </w:pPr>
      <w:r w:rsidRPr="001003D3">
        <w:rPr>
          <w:rFonts w:ascii="Arial" w:eastAsiaTheme="majorEastAsia" w:hAnsi="Arial" w:cs="Arial"/>
          <w:sz w:val="24"/>
          <w:szCs w:val="24"/>
        </w:rPr>
        <w:t>Audit logs: Logs related to events emitted by the Audit service.</w:t>
      </w:r>
    </w:p>
    <w:p w14:paraId="4423F206" w14:textId="77777777" w:rsidR="00D43941" w:rsidRPr="001003D3" w:rsidRDefault="00D43941" w:rsidP="00BA507A">
      <w:pPr>
        <w:pStyle w:val="ListParagraph"/>
        <w:numPr>
          <w:ilvl w:val="0"/>
          <w:numId w:val="123"/>
        </w:numPr>
        <w:shd w:val="clear" w:color="auto" w:fill="FFFFFF" w:themeFill="background1"/>
        <w:spacing w:before="120" w:after="120" w:line="360" w:lineRule="auto"/>
        <w:rPr>
          <w:rFonts w:ascii="Arial" w:eastAsiaTheme="majorEastAsia" w:hAnsi="Arial" w:cs="Arial"/>
          <w:sz w:val="24"/>
          <w:szCs w:val="24"/>
        </w:rPr>
      </w:pPr>
      <w:r w:rsidRPr="001003D3">
        <w:rPr>
          <w:rFonts w:ascii="Arial" w:eastAsiaTheme="majorEastAsia" w:hAnsi="Arial" w:cs="Arial"/>
          <w:sz w:val="24"/>
          <w:szCs w:val="24"/>
        </w:rPr>
        <w:t>Service logs: Logs emitted by individual services such as API Gateway, Events, Functions, Load Balancing, Object Storage, and VCN flow logs.</w:t>
      </w:r>
    </w:p>
    <w:p w14:paraId="3208AC45" w14:textId="77777777" w:rsidR="008508EE" w:rsidRPr="001003D3" w:rsidRDefault="00D43941" w:rsidP="00BA507A">
      <w:pPr>
        <w:pStyle w:val="ListParagraph"/>
        <w:numPr>
          <w:ilvl w:val="0"/>
          <w:numId w:val="123"/>
        </w:numPr>
        <w:shd w:val="clear" w:color="auto" w:fill="FFFFFF" w:themeFill="background1"/>
        <w:spacing w:before="120" w:after="120" w:line="360" w:lineRule="auto"/>
        <w:rPr>
          <w:rFonts w:ascii="Arial" w:eastAsiaTheme="majorEastAsia" w:hAnsi="Arial" w:cs="Arial"/>
          <w:sz w:val="24"/>
          <w:szCs w:val="24"/>
        </w:rPr>
      </w:pPr>
      <w:r w:rsidRPr="001003D3">
        <w:rPr>
          <w:rFonts w:ascii="Arial" w:eastAsiaTheme="majorEastAsia" w:hAnsi="Arial" w:cs="Arial"/>
          <w:sz w:val="24"/>
          <w:szCs w:val="24"/>
        </w:rPr>
        <w:t>Custom logs: Logs that contain diagnostic information from custom applications, other cloud providers, or an on-premises environment.</w:t>
      </w:r>
    </w:p>
    <w:p w14:paraId="11C58F9D" w14:textId="77777777" w:rsidR="008508EE" w:rsidRPr="001003D3" w:rsidRDefault="008508EE"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Service connectors</w:t>
      </w:r>
    </w:p>
    <w:p w14:paraId="63232485"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Oracle Cloud Infrastructure Service Connector Hub is a cloud message bus platform that orchestrates data movement between services in OCI. You can use it to move data between services in Oracle Cloud Infrastructure. Data is moved using service connectors. A service connector specifies the source service that contains the data to be moved, the tasks to perform on the data, and the target service to which the data must be delivered when the specified tasks are completed.</w:t>
      </w:r>
    </w:p>
    <w:p w14:paraId="563CDBC8"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You can use Oracle Cloud Infrastructure Service Connector Hub to quickly build a logging aggregation framework for SIEM systems.</w:t>
      </w:r>
    </w:p>
    <w:p w14:paraId="77C85CD9" w14:textId="77777777" w:rsidR="008508EE" w:rsidRPr="001003D3" w:rsidRDefault="008508EE"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Cloud Guard</w:t>
      </w:r>
    </w:p>
    <w:p w14:paraId="5C9EDED3"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Oracle Cloud Guard helps you achieve and maintain a strong security posture in Oracle Cloud by monitoring the tenancy for configuration settings and actions on resources that could pose a security problem.</w:t>
      </w:r>
    </w:p>
    <w:p w14:paraId="55D7375E"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You can use Oracle Cloud Guard to monitor and maintain the security of your resources in Oracle Cloud Infrastructure. Cloud Guard uses detector recipes that you can define to examine your resources for security weaknesses and to monitor operators and users for risky activities. When any misconfiguration or insecure activity is detected, Cloud Guard recommends corrective actions and assists with taking those actions, based on responder recipes that you can define.</w:t>
      </w:r>
    </w:p>
    <w:p w14:paraId="3C73EE82" w14:textId="77777777" w:rsidR="008508EE" w:rsidRPr="001003D3" w:rsidRDefault="008508EE"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Vulnerability Scanning Service</w:t>
      </w:r>
    </w:p>
    <w:p w14:paraId="4691D781"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hAnsi="Arial" w:cs="Arial"/>
        </w:rPr>
      </w:pPr>
      <w:r w:rsidRPr="001003D3">
        <w:rPr>
          <w:rFonts w:ascii="Arial" w:eastAsiaTheme="majorEastAsia" w:hAnsi="Arial" w:cs="Arial"/>
          <w:lang w:eastAsia="en-US"/>
        </w:rPr>
        <w:t>Oracle Cloud Infrastructure Vulnerability Scanning Service helps improve the security posture in Oracle Cloud by routinely checking ports and hosts for potential vulnerabilities. The service generates reports with metrics and details about these vulnerabilities</w:t>
      </w:r>
      <w:r w:rsidRPr="001003D3">
        <w:rPr>
          <w:rFonts w:ascii="Arial" w:hAnsi="Arial" w:cs="Arial"/>
        </w:rPr>
        <w:t>.</w:t>
      </w:r>
    </w:p>
    <w:p w14:paraId="64054761" w14:textId="77777777" w:rsidR="008508EE" w:rsidRPr="001003D3" w:rsidRDefault="008508EE"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Bastion service</w:t>
      </w:r>
    </w:p>
    <w:p w14:paraId="39903413"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hAnsi="Arial" w:cs="Arial"/>
        </w:rPr>
      </w:pPr>
      <w:r w:rsidRPr="001003D3">
        <w:rPr>
          <w:rFonts w:ascii="Arial" w:eastAsiaTheme="majorEastAsia" w:hAnsi="Arial" w:cs="Arial"/>
          <w:lang w:eastAsia="en-US"/>
        </w:rPr>
        <w:t>Oracle Cloud Infrastructure Bastion service provides restricted access from specific IP addresses to target OCI resources that do not have public endpoints using Identity-based, audited and time-bound Secure Shell (SSH) sessions</w:t>
      </w:r>
      <w:r w:rsidR="00BA507A" w:rsidRPr="001003D3">
        <w:rPr>
          <w:rFonts w:ascii="Arial" w:hAnsi="Arial" w:cs="Arial"/>
        </w:rPr>
        <w:t>.</w:t>
      </w:r>
    </w:p>
    <w:p w14:paraId="6C2A7C97" w14:textId="77777777" w:rsidR="008508EE" w:rsidRPr="001003D3" w:rsidRDefault="008508EE"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Object storage</w:t>
      </w:r>
    </w:p>
    <w:p w14:paraId="34FA95D5"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Object storage provides quick access to large amounts of structured and unstructured data of any content type, including database backups, analytic data, and rich content such as images and videos. You can safely and securely store and then retrieve data directly from the internet or from within the cloud platform. You can seamlessly scale storage without experiencing any degradation in performance or service reliability. Use standard storage for "hot" storage that you need to access quickly, immediately, and frequently. Use archive storage for "cold" storage that you retain for long periods of time and seldom or rarely access.</w:t>
      </w:r>
    </w:p>
    <w:p w14:paraId="0C52D24A" w14:textId="77777777" w:rsidR="00903681" w:rsidRPr="001003D3" w:rsidRDefault="00903681" w:rsidP="0026368A">
      <w:pPr>
        <w:pStyle w:val="Heading1"/>
        <w:numPr>
          <w:ilvl w:val="0"/>
          <w:numId w:val="128"/>
        </w:numPr>
        <w:spacing w:line="360" w:lineRule="auto"/>
        <w:rPr>
          <w:rFonts w:ascii="Arial" w:hAnsi="Arial" w:cs="Arial"/>
          <w:b/>
          <w:color w:val="auto"/>
          <w:sz w:val="24"/>
          <w:szCs w:val="24"/>
        </w:rPr>
      </w:pPr>
      <w:bookmarkStart w:id="2" w:name="_Toc133515452"/>
      <w:r w:rsidRPr="001003D3">
        <w:rPr>
          <w:rFonts w:ascii="Arial" w:hAnsi="Arial" w:cs="Arial"/>
          <w:b/>
          <w:color w:val="auto"/>
          <w:sz w:val="24"/>
          <w:szCs w:val="24"/>
        </w:rPr>
        <w:t>Recommendations</w:t>
      </w:r>
      <w:bookmarkEnd w:id="2"/>
    </w:p>
    <w:p w14:paraId="605A266A" w14:textId="77777777" w:rsidR="00903681" w:rsidRPr="001003D3" w:rsidRDefault="00903681" w:rsidP="00BA507A">
      <w:pPr>
        <w:pStyle w:val="NormalWeb"/>
        <w:shd w:val="clear" w:color="auto" w:fill="FFFFFF" w:themeFill="background1"/>
        <w:spacing w:before="210" w:beforeAutospacing="0" w:after="210" w:afterAutospacing="0" w:line="360" w:lineRule="auto"/>
        <w:rPr>
          <w:rFonts w:ascii="Arial" w:eastAsiaTheme="majorEastAsia" w:hAnsi="Arial" w:cs="Arial"/>
          <w:lang w:eastAsia="en-US"/>
        </w:rPr>
      </w:pPr>
      <w:r w:rsidRPr="001003D3">
        <w:rPr>
          <w:rFonts w:ascii="Arial" w:eastAsiaTheme="majorEastAsia" w:hAnsi="Arial" w:cs="Arial"/>
          <w:lang w:eastAsia="en-US"/>
        </w:rPr>
        <w:t>Use the following recommendations as a starting point to design and configure security for your cloud environment. Your requirements might differ from the architecture described here.</w:t>
      </w:r>
    </w:p>
    <w:p w14:paraId="7D809FEC" w14:textId="77777777" w:rsidR="00630412" w:rsidRPr="001003D3" w:rsidRDefault="00630412"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Network configuration</w:t>
      </w:r>
    </w:p>
    <w:p w14:paraId="4A8424C2"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For the VCN, select a CIDR block that doesn't overlap with any other network (in Oracle Cloud Infrastructure, your on-premises data center, or another cloud provider) to which you intend to set up private connections.</w:t>
      </w:r>
    </w:p>
    <w:p w14:paraId="4A83026A" w14:textId="77777777" w:rsidR="00630412" w:rsidRPr="001003D3" w:rsidRDefault="00630412"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Monitoring security</w:t>
      </w:r>
    </w:p>
    <w:p w14:paraId="1F00717B"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Use Oracle Cloud Guard to monitor and maintain the security of your resources in Oracle Cloud Infrastructure. Cloud Guard uses detector recipes that you can define to examine your resources for security weaknesses and to monitor operators and users for risky activities. When any misconfiguration or insecure activity is detected, Cloud Guard recommends corrective actions and assists with taking those actions, based on responder recipes that you can define.</w:t>
      </w:r>
    </w:p>
    <w:p w14:paraId="6F0E2E68" w14:textId="77777777" w:rsidR="00630412" w:rsidRPr="001003D3" w:rsidRDefault="00630412"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Secure resource provisioning</w:t>
      </w:r>
    </w:p>
    <w:p w14:paraId="0E174ADD"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For resources that require maximum security, use security zones. A security zone is a compartment associated with an Oracle-defined recipe of security policies that are based on best practices. For example, the resources in a security zone must not be accessible from the public internet and they must be encrypted using customer-managed keys. When you create and update resources in a security zone, Oracle Cloud Infrastructure validates the operations against the policies in the security-zone recipe, and denies operations that violate any of the policies.</w:t>
      </w:r>
    </w:p>
    <w:p w14:paraId="2E9FB629" w14:textId="77777777" w:rsidR="0026368A" w:rsidRPr="001003D3" w:rsidRDefault="0026368A"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401C0D60" w14:textId="77777777" w:rsidR="00630412" w:rsidRPr="001003D3" w:rsidRDefault="00630412" w:rsidP="0026368A">
      <w:pPr>
        <w:pStyle w:val="Heading1"/>
        <w:numPr>
          <w:ilvl w:val="0"/>
          <w:numId w:val="128"/>
        </w:numPr>
        <w:spacing w:line="360" w:lineRule="auto"/>
        <w:rPr>
          <w:rFonts w:ascii="Arial" w:hAnsi="Arial" w:cs="Arial"/>
          <w:b/>
          <w:color w:val="auto"/>
          <w:sz w:val="24"/>
          <w:szCs w:val="24"/>
        </w:rPr>
      </w:pPr>
      <w:bookmarkStart w:id="3" w:name="_Toc133515453"/>
      <w:r w:rsidRPr="001003D3">
        <w:rPr>
          <w:rFonts w:ascii="Arial" w:hAnsi="Arial" w:cs="Arial"/>
          <w:b/>
          <w:color w:val="auto"/>
          <w:sz w:val="24"/>
          <w:szCs w:val="24"/>
        </w:rPr>
        <w:t>Considerations</w:t>
      </w:r>
      <w:bookmarkEnd w:id="3"/>
    </w:p>
    <w:p w14:paraId="0F39E47C" w14:textId="77777777" w:rsidR="00630412" w:rsidRPr="001003D3" w:rsidRDefault="00630412" w:rsidP="00BA507A">
      <w:pPr>
        <w:pStyle w:val="NormalWeb"/>
        <w:shd w:val="clear" w:color="auto" w:fill="FFFFFF" w:themeFill="background1"/>
        <w:spacing w:before="210" w:beforeAutospacing="0" w:after="210" w:afterAutospacing="0" w:line="360" w:lineRule="auto"/>
        <w:rPr>
          <w:rFonts w:ascii="Arial" w:eastAsiaTheme="majorEastAsia" w:hAnsi="Arial" w:cs="Arial"/>
          <w:lang w:eastAsia="en-US"/>
        </w:rPr>
      </w:pPr>
      <w:r w:rsidRPr="001003D3">
        <w:rPr>
          <w:rFonts w:ascii="Arial" w:eastAsiaTheme="majorEastAsia" w:hAnsi="Arial" w:cs="Arial"/>
          <w:lang w:eastAsia="en-US"/>
        </w:rPr>
        <w:t>When implementing this reference architecture, consider the following factors:</w:t>
      </w:r>
    </w:p>
    <w:p w14:paraId="3AFF1CE6" w14:textId="77777777" w:rsidR="00630412" w:rsidRPr="001003D3" w:rsidRDefault="00630412"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Access permissions</w:t>
      </w:r>
    </w:p>
    <w:p w14:paraId="680471B4"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The Landing Zone template can provision resources as the tenancy administrator (any user that is a member of the Administrators group) or as a user with narrower permissions. See </w:t>
      </w:r>
      <w:r w:rsidRPr="001003D3">
        <w:rPr>
          <w:rFonts w:ascii="Arial" w:eastAsiaTheme="majorEastAsia" w:hAnsi="Arial" w:cs="Arial"/>
          <w:b/>
          <w:lang w:eastAsia="en-US"/>
        </w:rPr>
        <w:t>Explore More</w:t>
      </w:r>
      <w:r w:rsidRPr="001003D3">
        <w:rPr>
          <w:rFonts w:ascii="Arial" w:eastAsiaTheme="majorEastAsia" w:hAnsi="Arial" w:cs="Arial"/>
          <w:lang w:eastAsia="en-US"/>
        </w:rPr>
        <w:t> for "Deployment Modes for CIS OCI Landing Zone".</w:t>
      </w:r>
    </w:p>
    <w:p w14:paraId="0D8AF18B"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The Landing Zone includes policies to allow separate administrator groups to manage each compartment after the initial provisioning. The preconfigured policies are not exhaustive. When you add resources to the Terraform template, you must define the required additional policy statements.</w:t>
      </w:r>
    </w:p>
    <w:p w14:paraId="26610B3C" w14:textId="77777777" w:rsidR="0026368A" w:rsidRPr="001003D3" w:rsidRDefault="0026368A"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73F8B6F0"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The Landing Zone template provisions resources as the tenancy administrator (any user that is a member of the Administrators group), and it includes policies to allow separate administrator groups to manage each compartment after the initial provisioning. The preconfigured policies are not exhaustive. When you add resources to the Terraform template, you must define the required additional policy statements.</w:t>
      </w:r>
    </w:p>
    <w:p w14:paraId="278F1398" w14:textId="77777777" w:rsidR="00630412" w:rsidRPr="001003D3" w:rsidRDefault="00630412"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Network Configuration</w:t>
      </w:r>
    </w:p>
    <w:p w14:paraId="36EF722E"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The Landing Zone network can be deployed in different ways: with one to multiple standalone VCNs or in a Hub &amp; Spoke architecture with Oracle Cloud Infrastructure DRG V2 service. It is also possible to configure the network with no Internet connectivity. Although the Landing Zone allows for switching back and forth between standalone and Hub &amp; Spoke, it is important to plan for a specific design, as manual actions might be needed when switching.</w:t>
      </w:r>
    </w:p>
    <w:p w14:paraId="1AFC1EE3" w14:textId="77777777" w:rsidR="00CC341E" w:rsidRPr="001003D3" w:rsidRDefault="00CC341E" w:rsidP="00BA507A">
      <w:pPr>
        <w:pStyle w:val="NoSpacing"/>
        <w:numPr>
          <w:ilvl w:val="0"/>
          <w:numId w:val="123"/>
        </w:numPr>
        <w:spacing w:line="360" w:lineRule="auto"/>
        <w:rPr>
          <w:rFonts w:ascii="Arial" w:eastAsiaTheme="majorEastAsia" w:hAnsi="Arial" w:cs="Arial"/>
          <w:b/>
          <w:sz w:val="24"/>
          <w:szCs w:val="24"/>
        </w:rPr>
      </w:pPr>
      <w:r w:rsidRPr="001003D3">
        <w:rPr>
          <w:rFonts w:ascii="Arial" w:eastAsiaTheme="majorEastAsia" w:hAnsi="Arial" w:cs="Arial"/>
          <w:b/>
          <w:sz w:val="24"/>
          <w:szCs w:val="24"/>
        </w:rPr>
        <w:t>Customizing the Landing Zone Template</w:t>
      </w:r>
    </w:p>
    <w:p w14:paraId="5539AB94" w14:textId="77777777" w:rsidR="00CC341E" w:rsidRPr="001003D3" w:rsidRDefault="00CC341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The Terraform configuration has a single root module and individual modules to provision the resources. This modular pattern enables efficient and consistent code reuse. To add resources to the Terraform configuration (for example, compartments or VCNs), reuse the existing modules and add the necessary module calls, similar to the existing ones in the root module. Most modules accept a map of resource objects and new objects are just a new element in the map.</w:t>
      </w:r>
    </w:p>
    <w:p w14:paraId="207820B0" w14:textId="77777777" w:rsidR="00CC341E" w:rsidRPr="001003D3" w:rsidRDefault="00CC341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3B8AC433" w14:textId="77777777" w:rsidR="00CC341E" w:rsidRPr="001003D3" w:rsidRDefault="00CC341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r w:rsidRPr="001003D3">
        <w:rPr>
          <w:rFonts w:ascii="Arial" w:eastAsiaTheme="majorEastAsia" w:hAnsi="Arial" w:cs="Arial"/>
          <w:lang w:eastAsia="en-US"/>
        </w:rPr>
        <w:t xml:space="preserve"> For example, to add a new compartment, define a new object with the compartment information and add it to the existing compartment's map. To add objects to an existing container object (for example, to add a subnet to a VCN), add the subnet resources to the existing subnet's map.</w:t>
      </w:r>
    </w:p>
    <w:p w14:paraId="55959E36" w14:textId="77777777" w:rsidR="00CC341E" w:rsidRPr="001003D3" w:rsidRDefault="00CC341E" w:rsidP="0026368A">
      <w:pPr>
        <w:pStyle w:val="Heading1"/>
        <w:numPr>
          <w:ilvl w:val="0"/>
          <w:numId w:val="128"/>
        </w:numPr>
        <w:spacing w:line="360" w:lineRule="auto"/>
        <w:rPr>
          <w:rFonts w:ascii="Arial" w:hAnsi="Arial" w:cs="Arial"/>
          <w:b/>
          <w:color w:val="auto"/>
          <w:sz w:val="24"/>
          <w:szCs w:val="24"/>
        </w:rPr>
      </w:pPr>
      <w:bookmarkStart w:id="4" w:name="_Toc133515454"/>
      <w:r w:rsidRPr="001003D3">
        <w:rPr>
          <w:rFonts w:ascii="Arial" w:hAnsi="Arial" w:cs="Arial"/>
          <w:b/>
          <w:color w:val="auto"/>
          <w:sz w:val="24"/>
          <w:szCs w:val="24"/>
        </w:rPr>
        <w:t>Deploy</w:t>
      </w:r>
      <w:bookmarkEnd w:id="4"/>
    </w:p>
    <w:p w14:paraId="67E3549B" w14:textId="77777777" w:rsidR="00CC341E" w:rsidRPr="001003D3" w:rsidRDefault="00CC341E" w:rsidP="00BA507A">
      <w:pPr>
        <w:pStyle w:val="NormalWeb"/>
        <w:shd w:val="clear" w:color="auto" w:fill="FFFFFF" w:themeFill="background1"/>
        <w:spacing w:before="210" w:beforeAutospacing="0" w:after="210" w:afterAutospacing="0" w:line="360" w:lineRule="auto"/>
        <w:rPr>
          <w:rFonts w:ascii="Arial" w:eastAsiaTheme="majorEastAsia" w:hAnsi="Arial" w:cs="Arial"/>
          <w:lang w:eastAsia="en-US"/>
        </w:rPr>
      </w:pPr>
      <w:r w:rsidRPr="001003D3">
        <w:rPr>
          <w:rFonts w:ascii="Arial" w:eastAsiaTheme="majorEastAsia" w:hAnsi="Arial" w:cs="Arial"/>
          <w:lang w:eastAsia="en-US"/>
        </w:rPr>
        <w:t>The Terraform code for deploying this reference architecture is available in GitHub.</w:t>
      </w:r>
    </w:p>
    <w:p w14:paraId="1731BA18" w14:textId="77777777" w:rsidR="00CC341E" w:rsidRPr="001003D3" w:rsidRDefault="00CC341E" w:rsidP="00BA507A">
      <w:pPr>
        <w:numPr>
          <w:ilvl w:val="0"/>
          <w:numId w:val="127"/>
        </w:numPr>
        <w:shd w:val="clear" w:color="auto" w:fill="FFFFFF" w:themeFill="background1"/>
        <w:spacing w:before="120" w:after="120" w:line="360" w:lineRule="auto"/>
        <w:rPr>
          <w:rFonts w:ascii="Arial" w:hAnsi="Arial" w:cs="Arial"/>
          <w:sz w:val="24"/>
          <w:szCs w:val="24"/>
        </w:rPr>
      </w:pPr>
      <w:r w:rsidRPr="001003D3">
        <w:rPr>
          <w:rFonts w:ascii="Arial" w:eastAsiaTheme="majorEastAsia" w:hAnsi="Arial" w:cs="Arial"/>
          <w:sz w:val="24"/>
          <w:szCs w:val="24"/>
        </w:rPr>
        <w:t>Go to </w:t>
      </w:r>
      <w:hyperlink r:id="rId8" w:tgtFrame="_blank" w:history="1">
        <w:r w:rsidRPr="001003D3">
          <w:rPr>
            <w:rStyle w:val="Hyperlink"/>
            <w:rFonts w:ascii="Arial" w:hAnsi="Arial" w:cs="Arial"/>
            <w:color w:val="auto"/>
            <w:sz w:val="24"/>
            <w:szCs w:val="24"/>
          </w:rPr>
          <w:t>GitHub</w:t>
        </w:r>
      </w:hyperlink>
      <w:r w:rsidRPr="001003D3">
        <w:rPr>
          <w:rFonts w:ascii="Arial" w:hAnsi="Arial" w:cs="Arial"/>
          <w:sz w:val="24"/>
          <w:szCs w:val="24"/>
        </w:rPr>
        <w:t>.</w:t>
      </w:r>
    </w:p>
    <w:p w14:paraId="69BCE0E4" w14:textId="77777777" w:rsidR="00CC341E" w:rsidRPr="001003D3" w:rsidRDefault="00CC341E" w:rsidP="00BA507A">
      <w:pPr>
        <w:numPr>
          <w:ilvl w:val="0"/>
          <w:numId w:val="127"/>
        </w:numPr>
        <w:shd w:val="clear" w:color="auto" w:fill="FFFFFF" w:themeFill="background1"/>
        <w:spacing w:before="120" w:after="120" w:line="360" w:lineRule="auto"/>
        <w:rPr>
          <w:rFonts w:ascii="Arial" w:eastAsiaTheme="majorEastAsia" w:hAnsi="Arial" w:cs="Arial"/>
          <w:sz w:val="24"/>
          <w:szCs w:val="24"/>
        </w:rPr>
      </w:pPr>
      <w:r w:rsidRPr="001003D3">
        <w:rPr>
          <w:rFonts w:ascii="Arial" w:eastAsiaTheme="majorEastAsia" w:hAnsi="Arial" w:cs="Arial"/>
          <w:sz w:val="24"/>
          <w:szCs w:val="24"/>
        </w:rPr>
        <w:t>Clone or download the repository to your local computer.</w:t>
      </w:r>
    </w:p>
    <w:p w14:paraId="0E0C712F" w14:textId="77777777" w:rsidR="00CC341E" w:rsidRPr="001003D3" w:rsidRDefault="00CC341E" w:rsidP="00BA507A">
      <w:pPr>
        <w:numPr>
          <w:ilvl w:val="0"/>
          <w:numId w:val="127"/>
        </w:numPr>
        <w:shd w:val="clear" w:color="auto" w:fill="FFFFFF" w:themeFill="background1"/>
        <w:spacing w:before="120" w:after="120" w:line="360" w:lineRule="auto"/>
        <w:rPr>
          <w:rFonts w:ascii="Arial" w:eastAsiaTheme="majorEastAsia" w:hAnsi="Arial" w:cs="Arial"/>
          <w:sz w:val="24"/>
          <w:szCs w:val="24"/>
        </w:rPr>
      </w:pPr>
      <w:r w:rsidRPr="001003D3">
        <w:rPr>
          <w:rFonts w:ascii="Arial" w:eastAsiaTheme="majorEastAsia" w:hAnsi="Arial" w:cs="Arial"/>
          <w:sz w:val="24"/>
          <w:szCs w:val="24"/>
        </w:rPr>
        <w:t>Deploy the infrastructure by using Terraform, as described in terraform.md.</w:t>
      </w:r>
    </w:p>
    <w:p w14:paraId="0E5ED033" w14:textId="77777777" w:rsidR="00CC341E" w:rsidRPr="001003D3" w:rsidRDefault="00CC341E" w:rsidP="00BA507A">
      <w:pPr>
        <w:pStyle w:val="notep1"/>
        <w:shd w:val="clear" w:color="auto" w:fill="FFFFFF" w:themeFill="background1"/>
        <w:spacing w:before="0" w:beforeAutospacing="0" w:line="360" w:lineRule="auto"/>
        <w:rPr>
          <w:rFonts w:ascii="Arial" w:eastAsiaTheme="majorEastAsia" w:hAnsi="Arial" w:cs="Arial"/>
          <w:lang w:eastAsia="en-US"/>
        </w:rPr>
      </w:pPr>
      <w:r w:rsidRPr="001003D3">
        <w:rPr>
          <w:rFonts w:ascii="Arial" w:eastAsiaTheme="majorEastAsia" w:hAnsi="Arial" w:cs="Arial"/>
          <w:lang w:eastAsia="en-US"/>
        </w:rPr>
        <w:t>Note:</w:t>
      </w:r>
    </w:p>
    <w:p w14:paraId="6665E9E0" w14:textId="77777777" w:rsidR="00CC341E" w:rsidRPr="001003D3" w:rsidRDefault="00CC341E" w:rsidP="00BA507A">
      <w:pPr>
        <w:shd w:val="clear" w:color="auto" w:fill="FFFFFF" w:themeFill="background1"/>
        <w:spacing w:line="360" w:lineRule="auto"/>
        <w:rPr>
          <w:rFonts w:ascii="Arial" w:eastAsiaTheme="majorEastAsia" w:hAnsi="Arial" w:cs="Arial"/>
          <w:sz w:val="24"/>
          <w:szCs w:val="24"/>
        </w:rPr>
      </w:pPr>
      <w:r w:rsidRPr="001003D3">
        <w:rPr>
          <w:rFonts w:ascii="Arial" w:eastAsiaTheme="majorEastAsia" w:hAnsi="Arial" w:cs="Arial"/>
          <w:sz w:val="24"/>
          <w:szCs w:val="24"/>
        </w:rPr>
        <w:t>The code that you download includes a script that you can use to check the security configuration of the resources in any tenancy. The script examines all the resource types referenced in the </w:t>
      </w:r>
      <w:r w:rsidRPr="001003D3">
        <w:rPr>
          <w:rFonts w:ascii="Arial" w:eastAsiaTheme="majorEastAsia" w:hAnsi="Arial" w:cs="Arial"/>
          <w:i/>
          <w:iCs/>
          <w:sz w:val="24"/>
          <w:szCs w:val="24"/>
        </w:rPr>
        <w:t>CIS Oracle Cloud Infrastructure Foundations Benchmark</w:t>
      </w:r>
      <w:r w:rsidRPr="001003D3">
        <w:rPr>
          <w:rFonts w:ascii="Arial" w:eastAsiaTheme="majorEastAsia" w:hAnsi="Arial" w:cs="Arial"/>
          <w:sz w:val="24"/>
          <w:szCs w:val="24"/>
        </w:rPr>
        <w:t>, and provides a summary compliance report.</w:t>
      </w:r>
    </w:p>
    <w:p w14:paraId="6ECA1CCD" w14:textId="77777777" w:rsidR="00CC341E" w:rsidRPr="001003D3" w:rsidRDefault="00CC341E" w:rsidP="00BA507A">
      <w:pPr>
        <w:shd w:val="clear" w:color="auto" w:fill="FFFFFF" w:themeFill="background1"/>
        <w:spacing w:line="360" w:lineRule="auto"/>
        <w:rPr>
          <w:rFonts w:ascii="Arial" w:eastAsiaTheme="majorEastAsia" w:hAnsi="Arial" w:cs="Arial"/>
          <w:sz w:val="24"/>
          <w:szCs w:val="24"/>
        </w:rPr>
      </w:pPr>
    </w:p>
    <w:p w14:paraId="5ABFC9ED" w14:textId="77777777" w:rsidR="00CC341E" w:rsidRPr="001003D3" w:rsidRDefault="0026368A" w:rsidP="0026368A">
      <w:pPr>
        <w:spacing w:line="360" w:lineRule="auto"/>
        <w:jc w:val="center"/>
        <w:rPr>
          <w:rFonts w:ascii="Arial" w:hAnsi="Arial" w:cs="Arial"/>
          <w:sz w:val="24"/>
          <w:szCs w:val="24"/>
        </w:rPr>
      </w:pPr>
      <w:r w:rsidRPr="001003D3">
        <w:rPr>
          <w:rFonts w:ascii="Arial" w:hAnsi="Arial" w:cs="Arial"/>
          <w:sz w:val="24"/>
          <w:szCs w:val="24"/>
        </w:rPr>
        <w:t>### END ###</w:t>
      </w:r>
    </w:p>
    <w:p w14:paraId="0AB260D8" w14:textId="77777777" w:rsidR="00CC341E" w:rsidRPr="001003D3" w:rsidRDefault="00CC341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7839E67A" w14:textId="77777777" w:rsidR="00CC341E" w:rsidRPr="001003D3" w:rsidRDefault="00CC341E" w:rsidP="00BA507A">
      <w:pPr>
        <w:pStyle w:val="NoSpacing"/>
        <w:spacing w:line="360" w:lineRule="auto"/>
        <w:rPr>
          <w:rFonts w:ascii="Arial" w:eastAsiaTheme="majorEastAsia" w:hAnsi="Arial" w:cs="Arial"/>
          <w:b/>
          <w:sz w:val="24"/>
          <w:szCs w:val="24"/>
        </w:rPr>
      </w:pPr>
    </w:p>
    <w:p w14:paraId="604BD65F" w14:textId="77777777" w:rsidR="00CC341E" w:rsidRPr="001003D3" w:rsidRDefault="00CC341E"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586BE4AF" w14:textId="77777777" w:rsidR="00630412" w:rsidRPr="001003D3" w:rsidRDefault="00630412" w:rsidP="00BA507A">
      <w:pPr>
        <w:pStyle w:val="NoSpacing"/>
        <w:spacing w:line="360" w:lineRule="auto"/>
        <w:rPr>
          <w:rFonts w:ascii="Arial" w:eastAsiaTheme="majorEastAsia" w:hAnsi="Arial" w:cs="Arial"/>
          <w:sz w:val="24"/>
          <w:szCs w:val="24"/>
        </w:rPr>
      </w:pPr>
    </w:p>
    <w:p w14:paraId="3E30F62D" w14:textId="77777777" w:rsidR="00630412" w:rsidRPr="001003D3" w:rsidRDefault="00630412"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7760E5B3" w14:textId="77777777" w:rsidR="00630412" w:rsidRPr="001003D3" w:rsidRDefault="00630412" w:rsidP="00BA507A">
      <w:pPr>
        <w:pStyle w:val="NoSpacing"/>
        <w:spacing w:line="360" w:lineRule="auto"/>
        <w:rPr>
          <w:rFonts w:ascii="Arial" w:eastAsiaTheme="majorEastAsia" w:hAnsi="Arial" w:cs="Arial"/>
          <w:b/>
          <w:sz w:val="24"/>
          <w:szCs w:val="24"/>
        </w:rPr>
      </w:pPr>
    </w:p>
    <w:p w14:paraId="5B58FD8F" w14:textId="77777777" w:rsidR="00630412" w:rsidRPr="001003D3" w:rsidRDefault="00630412" w:rsidP="00BA507A">
      <w:pPr>
        <w:pStyle w:val="NormalWeb"/>
        <w:shd w:val="clear" w:color="auto" w:fill="FFFFFF" w:themeFill="background1"/>
        <w:spacing w:before="210" w:beforeAutospacing="0" w:after="210" w:afterAutospacing="0" w:line="360" w:lineRule="auto"/>
        <w:rPr>
          <w:rFonts w:ascii="Arial" w:eastAsiaTheme="majorEastAsia" w:hAnsi="Arial" w:cs="Arial"/>
          <w:lang w:eastAsia="en-US"/>
        </w:rPr>
      </w:pPr>
    </w:p>
    <w:p w14:paraId="000448C5" w14:textId="77777777" w:rsidR="00630412" w:rsidRPr="001003D3" w:rsidRDefault="00630412" w:rsidP="00BA507A">
      <w:pPr>
        <w:pStyle w:val="NoSpacing"/>
        <w:spacing w:line="360" w:lineRule="auto"/>
        <w:rPr>
          <w:rFonts w:ascii="Arial" w:eastAsiaTheme="majorEastAsia" w:hAnsi="Arial" w:cs="Arial"/>
          <w:sz w:val="24"/>
          <w:szCs w:val="24"/>
        </w:rPr>
      </w:pPr>
    </w:p>
    <w:p w14:paraId="3F685DAC" w14:textId="77777777" w:rsidR="00630412" w:rsidRPr="001003D3" w:rsidRDefault="00630412" w:rsidP="00BA507A">
      <w:pPr>
        <w:pStyle w:val="NoSpacing"/>
        <w:spacing w:line="360" w:lineRule="auto"/>
        <w:rPr>
          <w:rFonts w:ascii="Arial" w:eastAsiaTheme="majorEastAsia" w:hAnsi="Arial" w:cs="Arial"/>
          <w:b/>
          <w:sz w:val="24"/>
          <w:szCs w:val="24"/>
        </w:rPr>
      </w:pPr>
    </w:p>
    <w:p w14:paraId="21DE5A7E" w14:textId="77777777" w:rsidR="00630412" w:rsidRPr="001003D3" w:rsidRDefault="00630412" w:rsidP="00BA507A">
      <w:pPr>
        <w:pStyle w:val="NoSpacing"/>
        <w:spacing w:line="360" w:lineRule="auto"/>
        <w:rPr>
          <w:rFonts w:ascii="Arial" w:eastAsiaTheme="majorEastAsia" w:hAnsi="Arial" w:cs="Arial"/>
          <w:b/>
          <w:sz w:val="24"/>
          <w:szCs w:val="24"/>
        </w:rPr>
      </w:pPr>
    </w:p>
    <w:p w14:paraId="6A424E4A" w14:textId="77777777" w:rsidR="00630412" w:rsidRPr="001003D3" w:rsidRDefault="00630412" w:rsidP="00BA507A">
      <w:pPr>
        <w:spacing w:line="360" w:lineRule="auto"/>
        <w:rPr>
          <w:rFonts w:ascii="Arial" w:hAnsi="Arial" w:cs="Arial"/>
          <w:sz w:val="24"/>
          <w:szCs w:val="24"/>
        </w:rPr>
      </w:pPr>
    </w:p>
    <w:p w14:paraId="0CC267C5"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hAnsi="Arial" w:cs="Arial"/>
        </w:rPr>
      </w:pPr>
    </w:p>
    <w:p w14:paraId="19139FD9" w14:textId="77777777" w:rsidR="008508EE" w:rsidRPr="001003D3" w:rsidRDefault="008508EE" w:rsidP="00BA507A">
      <w:pPr>
        <w:pStyle w:val="NoSpacing"/>
        <w:spacing w:line="360" w:lineRule="auto"/>
        <w:rPr>
          <w:rFonts w:ascii="Arial" w:eastAsiaTheme="majorEastAsia" w:hAnsi="Arial" w:cs="Arial"/>
          <w:b/>
          <w:sz w:val="24"/>
          <w:szCs w:val="24"/>
        </w:rPr>
      </w:pPr>
    </w:p>
    <w:p w14:paraId="20E812EA" w14:textId="77777777" w:rsidR="008508EE" w:rsidRPr="001003D3" w:rsidRDefault="008508EE" w:rsidP="00BA507A">
      <w:pPr>
        <w:pStyle w:val="NormalWeb"/>
        <w:shd w:val="clear" w:color="auto" w:fill="FFFFFF" w:themeFill="background1"/>
        <w:spacing w:before="0" w:beforeAutospacing="0" w:after="120" w:afterAutospacing="0" w:line="360" w:lineRule="auto"/>
        <w:rPr>
          <w:rFonts w:ascii="Arial" w:hAnsi="Arial" w:cs="Arial"/>
        </w:rPr>
      </w:pPr>
    </w:p>
    <w:p w14:paraId="022A4EA3" w14:textId="77777777" w:rsidR="008508EE" w:rsidRPr="001003D3" w:rsidRDefault="008508EE" w:rsidP="00BA507A">
      <w:pPr>
        <w:pStyle w:val="NoSpacing"/>
        <w:spacing w:line="360" w:lineRule="auto"/>
        <w:rPr>
          <w:rFonts w:ascii="Arial" w:eastAsiaTheme="majorEastAsia" w:hAnsi="Arial" w:cs="Arial"/>
          <w:b/>
          <w:sz w:val="24"/>
          <w:szCs w:val="24"/>
        </w:rPr>
      </w:pPr>
    </w:p>
    <w:p w14:paraId="2C177C76" w14:textId="77777777" w:rsidR="008508EE" w:rsidRPr="001003D3" w:rsidRDefault="008508EE" w:rsidP="00BA507A">
      <w:pPr>
        <w:pStyle w:val="NoSpacing"/>
        <w:spacing w:line="360" w:lineRule="auto"/>
        <w:rPr>
          <w:rFonts w:ascii="Arial" w:eastAsiaTheme="majorEastAsia" w:hAnsi="Arial" w:cs="Arial"/>
          <w:b/>
          <w:sz w:val="24"/>
          <w:szCs w:val="24"/>
        </w:rPr>
      </w:pPr>
    </w:p>
    <w:p w14:paraId="1C0E8C05" w14:textId="77777777" w:rsidR="00D43941" w:rsidRPr="001003D3" w:rsidRDefault="00D43941" w:rsidP="00BA507A">
      <w:pPr>
        <w:shd w:val="clear" w:color="auto" w:fill="FFFFFF" w:themeFill="background1"/>
        <w:spacing w:before="120" w:after="120" w:line="360" w:lineRule="auto"/>
        <w:ind w:left="360"/>
        <w:rPr>
          <w:rFonts w:ascii="Arial" w:eastAsiaTheme="majorEastAsia" w:hAnsi="Arial" w:cs="Arial"/>
          <w:sz w:val="24"/>
          <w:szCs w:val="24"/>
        </w:rPr>
      </w:pPr>
    </w:p>
    <w:p w14:paraId="751E5B6D" w14:textId="77777777" w:rsidR="00D43941" w:rsidRPr="001003D3" w:rsidRDefault="00D43941" w:rsidP="00BA507A">
      <w:pPr>
        <w:pStyle w:val="NoSpacing"/>
        <w:spacing w:line="360" w:lineRule="auto"/>
        <w:rPr>
          <w:rFonts w:ascii="Arial" w:eastAsiaTheme="majorEastAsia" w:hAnsi="Arial" w:cs="Arial"/>
          <w:sz w:val="24"/>
          <w:szCs w:val="24"/>
        </w:rPr>
      </w:pPr>
    </w:p>
    <w:p w14:paraId="28A66CF8" w14:textId="77777777" w:rsidR="00D43941" w:rsidRPr="001003D3" w:rsidRDefault="00D43941" w:rsidP="00BA507A">
      <w:pPr>
        <w:pStyle w:val="NoSpacing"/>
        <w:spacing w:line="360" w:lineRule="auto"/>
        <w:rPr>
          <w:rFonts w:ascii="Arial" w:eastAsiaTheme="majorEastAsia" w:hAnsi="Arial" w:cs="Arial"/>
          <w:sz w:val="24"/>
          <w:szCs w:val="24"/>
        </w:rPr>
      </w:pPr>
    </w:p>
    <w:p w14:paraId="13AF300D" w14:textId="77777777" w:rsidR="00D43941" w:rsidRPr="001003D3" w:rsidRDefault="00D43941"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42D320EA" w14:textId="77777777" w:rsidR="00D43941" w:rsidRPr="001003D3" w:rsidRDefault="00D43941"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38A281B5" w14:textId="77777777" w:rsidR="00D43941" w:rsidRPr="001003D3" w:rsidRDefault="00D43941" w:rsidP="00BA507A">
      <w:pPr>
        <w:pStyle w:val="NoSpacing"/>
        <w:spacing w:line="360" w:lineRule="auto"/>
        <w:rPr>
          <w:rFonts w:ascii="Arial" w:eastAsiaTheme="majorEastAsia" w:hAnsi="Arial" w:cs="Arial"/>
          <w:sz w:val="24"/>
          <w:szCs w:val="24"/>
        </w:rPr>
      </w:pPr>
    </w:p>
    <w:p w14:paraId="4D56C848" w14:textId="77777777" w:rsidR="00D43941" w:rsidRPr="001003D3" w:rsidRDefault="00D43941"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154E4F98" w14:textId="77777777" w:rsidR="00D43941" w:rsidRPr="001003D3" w:rsidRDefault="00D43941" w:rsidP="00BA507A">
      <w:pPr>
        <w:pStyle w:val="NoSpacing"/>
        <w:spacing w:line="360" w:lineRule="auto"/>
        <w:rPr>
          <w:rFonts w:ascii="Arial" w:eastAsiaTheme="majorEastAsia" w:hAnsi="Arial" w:cs="Arial"/>
          <w:b/>
          <w:sz w:val="24"/>
          <w:szCs w:val="24"/>
        </w:rPr>
      </w:pPr>
    </w:p>
    <w:p w14:paraId="78504119" w14:textId="77777777" w:rsidR="00394EAB" w:rsidRPr="001003D3" w:rsidRDefault="00394EAB" w:rsidP="00BA507A">
      <w:pPr>
        <w:pStyle w:val="NormalWeb"/>
        <w:shd w:val="clear" w:color="auto" w:fill="FFFFFF" w:themeFill="background1"/>
        <w:spacing w:before="0" w:beforeAutospacing="0" w:after="120" w:afterAutospacing="0" w:line="360" w:lineRule="auto"/>
        <w:rPr>
          <w:rFonts w:ascii="Arial" w:hAnsi="Arial" w:cs="Arial"/>
        </w:rPr>
      </w:pPr>
    </w:p>
    <w:p w14:paraId="39DE55D7" w14:textId="77777777" w:rsidR="00394EAB" w:rsidRPr="001003D3" w:rsidRDefault="00394EAB" w:rsidP="00BA507A">
      <w:pPr>
        <w:pStyle w:val="NormalWeb"/>
        <w:shd w:val="clear" w:color="auto" w:fill="FFFFFF" w:themeFill="background1"/>
        <w:spacing w:before="0" w:beforeAutospacing="0" w:after="120" w:afterAutospacing="0" w:line="360" w:lineRule="auto"/>
        <w:rPr>
          <w:rFonts w:ascii="Arial" w:eastAsiaTheme="majorEastAsia" w:hAnsi="Arial" w:cs="Arial"/>
          <w:lang w:eastAsia="en-US"/>
        </w:rPr>
      </w:pPr>
    </w:p>
    <w:p w14:paraId="218FF964" w14:textId="77777777" w:rsidR="00394EAB" w:rsidRPr="001003D3" w:rsidRDefault="00394EAB" w:rsidP="00BA507A">
      <w:pPr>
        <w:pStyle w:val="NoSpacing"/>
        <w:spacing w:line="360" w:lineRule="auto"/>
        <w:rPr>
          <w:rFonts w:ascii="Arial" w:eastAsiaTheme="majorEastAsia" w:hAnsi="Arial" w:cs="Arial"/>
          <w:sz w:val="24"/>
          <w:szCs w:val="24"/>
        </w:rPr>
      </w:pPr>
    </w:p>
    <w:p w14:paraId="2B5F3477" w14:textId="77777777" w:rsidR="007C5C6A" w:rsidRPr="001003D3" w:rsidRDefault="007C5C6A" w:rsidP="00BA507A">
      <w:pPr>
        <w:spacing w:line="360" w:lineRule="auto"/>
        <w:rPr>
          <w:rFonts w:ascii="Arial" w:eastAsiaTheme="majorEastAsia" w:hAnsi="Arial" w:cs="Arial"/>
          <w:sz w:val="24"/>
          <w:szCs w:val="24"/>
        </w:rPr>
      </w:pPr>
    </w:p>
    <w:p w14:paraId="7E6C897A" w14:textId="77777777" w:rsidR="004F36F7" w:rsidRPr="001003D3" w:rsidRDefault="004F36F7" w:rsidP="00BA507A">
      <w:pPr>
        <w:pStyle w:val="NoSpacing"/>
        <w:spacing w:line="360" w:lineRule="auto"/>
        <w:rPr>
          <w:rFonts w:ascii="Arial" w:eastAsiaTheme="majorEastAsia" w:hAnsi="Arial" w:cs="Arial"/>
          <w:sz w:val="24"/>
          <w:szCs w:val="24"/>
        </w:rPr>
      </w:pPr>
    </w:p>
    <w:p w14:paraId="24E2FBC4" w14:textId="77777777" w:rsidR="004F36F7" w:rsidRPr="001003D3" w:rsidRDefault="004F36F7" w:rsidP="00BA507A">
      <w:pPr>
        <w:pStyle w:val="NoSpacing"/>
        <w:spacing w:line="360" w:lineRule="auto"/>
        <w:rPr>
          <w:rFonts w:ascii="Arial" w:eastAsiaTheme="majorEastAsia" w:hAnsi="Arial" w:cs="Arial"/>
          <w:sz w:val="24"/>
          <w:szCs w:val="24"/>
        </w:rPr>
      </w:pPr>
    </w:p>
    <w:p w14:paraId="32E15E27" w14:textId="77777777" w:rsidR="004F36F7" w:rsidRPr="001003D3" w:rsidRDefault="004F36F7" w:rsidP="00BA507A">
      <w:pPr>
        <w:pStyle w:val="NoSpacing"/>
        <w:spacing w:line="360" w:lineRule="auto"/>
        <w:rPr>
          <w:rFonts w:ascii="Arial" w:eastAsiaTheme="majorEastAsia" w:hAnsi="Arial" w:cs="Arial"/>
          <w:sz w:val="24"/>
          <w:szCs w:val="24"/>
        </w:rPr>
      </w:pPr>
    </w:p>
    <w:p w14:paraId="0AE5D0BE" w14:textId="77777777" w:rsidR="004F36F7" w:rsidRPr="001003D3" w:rsidRDefault="004F36F7" w:rsidP="00BA507A">
      <w:pPr>
        <w:pStyle w:val="NoSpacing"/>
        <w:spacing w:line="360" w:lineRule="auto"/>
        <w:rPr>
          <w:rFonts w:ascii="Arial" w:eastAsiaTheme="majorEastAsia" w:hAnsi="Arial" w:cs="Arial"/>
          <w:sz w:val="24"/>
          <w:szCs w:val="24"/>
        </w:rPr>
      </w:pPr>
    </w:p>
    <w:p w14:paraId="2D85C2F2" w14:textId="77777777" w:rsidR="004F36F7" w:rsidRPr="001003D3" w:rsidRDefault="004F36F7" w:rsidP="00BA507A">
      <w:pPr>
        <w:pStyle w:val="NoSpacing"/>
        <w:spacing w:line="360" w:lineRule="auto"/>
        <w:rPr>
          <w:rFonts w:ascii="Arial" w:eastAsiaTheme="majorEastAsia" w:hAnsi="Arial" w:cs="Arial"/>
          <w:sz w:val="24"/>
          <w:szCs w:val="24"/>
        </w:rPr>
      </w:pPr>
    </w:p>
    <w:p w14:paraId="7F94810C" w14:textId="77777777" w:rsidR="004F36F7" w:rsidRPr="001003D3" w:rsidRDefault="004F36F7" w:rsidP="00BA507A">
      <w:pPr>
        <w:pStyle w:val="NoSpacing"/>
        <w:spacing w:line="360" w:lineRule="auto"/>
        <w:rPr>
          <w:rFonts w:ascii="Arial" w:eastAsiaTheme="majorEastAsia" w:hAnsi="Arial" w:cs="Arial"/>
          <w:sz w:val="24"/>
          <w:szCs w:val="24"/>
        </w:rPr>
      </w:pPr>
    </w:p>
    <w:p w14:paraId="7F279FF8" w14:textId="77777777" w:rsidR="004F36F7" w:rsidRPr="001003D3" w:rsidRDefault="004F36F7" w:rsidP="00BA507A">
      <w:pPr>
        <w:pStyle w:val="NoSpacing"/>
        <w:spacing w:line="360" w:lineRule="auto"/>
        <w:rPr>
          <w:rFonts w:ascii="Arial" w:eastAsiaTheme="majorEastAsia" w:hAnsi="Arial" w:cs="Arial"/>
          <w:sz w:val="24"/>
          <w:szCs w:val="24"/>
        </w:rPr>
      </w:pPr>
    </w:p>
    <w:p w14:paraId="2E30DB9D" w14:textId="77777777" w:rsidR="004F36F7" w:rsidRPr="001003D3" w:rsidRDefault="004F36F7" w:rsidP="00BA507A">
      <w:pPr>
        <w:pStyle w:val="NoSpacing"/>
        <w:spacing w:line="360" w:lineRule="auto"/>
        <w:rPr>
          <w:rFonts w:ascii="Arial" w:eastAsiaTheme="majorEastAsia" w:hAnsi="Arial" w:cs="Arial"/>
          <w:sz w:val="24"/>
          <w:szCs w:val="24"/>
        </w:rPr>
      </w:pPr>
    </w:p>
    <w:p w14:paraId="2365ECE1" w14:textId="77777777" w:rsidR="004F36F7" w:rsidRPr="001003D3" w:rsidRDefault="004F36F7" w:rsidP="00BA507A">
      <w:pPr>
        <w:pStyle w:val="NoSpacing"/>
        <w:spacing w:line="360" w:lineRule="auto"/>
        <w:rPr>
          <w:rFonts w:ascii="Arial" w:eastAsiaTheme="majorEastAsia" w:hAnsi="Arial" w:cs="Arial"/>
          <w:sz w:val="24"/>
          <w:szCs w:val="24"/>
        </w:rPr>
      </w:pPr>
    </w:p>
    <w:p w14:paraId="183D3B39" w14:textId="77777777" w:rsidR="0048547F" w:rsidRPr="001003D3" w:rsidRDefault="006A1209" w:rsidP="00BA507A">
      <w:pPr>
        <w:spacing w:line="360" w:lineRule="auto"/>
        <w:jc w:val="center"/>
        <w:rPr>
          <w:rFonts w:ascii="Arial" w:hAnsi="Arial" w:cs="Arial"/>
          <w:sz w:val="24"/>
          <w:szCs w:val="24"/>
        </w:rPr>
      </w:pPr>
      <w:r w:rsidRPr="001003D3">
        <w:rPr>
          <w:rFonts w:ascii="Arial" w:hAnsi="Arial" w:cs="Arial"/>
          <w:sz w:val="24"/>
          <w:szCs w:val="24"/>
        </w:rPr>
        <w:t># END #</w:t>
      </w:r>
    </w:p>
    <w:sectPr w:rsidR="0048547F" w:rsidRPr="001003D3" w:rsidSect="0067233C">
      <w:footerReference w:type="default" r:id="rId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307A3" w14:textId="77777777" w:rsidR="001E649F" w:rsidRDefault="001E649F" w:rsidP="0067233C">
      <w:pPr>
        <w:spacing w:after="0" w:line="240" w:lineRule="auto"/>
      </w:pPr>
      <w:r>
        <w:separator/>
      </w:r>
    </w:p>
  </w:endnote>
  <w:endnote w:type="continuationSeparator" w:id="0">
    <w:p w14:paraId="5AD3478D" w14:textId="77777777" w:rsidR="001E649F" w:rsidRDefault="001E649F"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1E40A305" w14:textId="77777777" w:rsidR="0067233C" w:rsidRDefault="0067233C">
            <w:pPr>
              <w:pStyle w:val="Footer"/>
              <w:jc w:val="right"/>
            </w:pPr>
            <w:r>
              <w:t xml:space="preserve">Page </w:t>
            </w:r>
            <w:r w:rsidR="00261E09">
              <w:rPr>
                <w:b/>
                <w:bCs/>
                <w:sz w:val="24"/>
                <w:szCs w:val="24"/>
              </w:rPr>
              <w:fldChar w:fldCharType="begin"/>
            </w:r>
            <w:r>
              <w:rPr>
                <w:b/>
                <w:bCs/>
              </w:rPr>
              <w:instrText xml:space="preserve"> PAGE </w:instrText>
            </w:r>
            <w:r w:rsidR="00261E09">
              <w:rPr>
                <w:b/>
                <w:bCs/>
                <w:sz w:val="24"/>
                <w:szCs w:val="24"/>
              </w:rPr>
              <w:fldChar w:fldCharType="separate"/>
            </w:r>
            <w:r w:rsidR="00CC1532">
              <w:rPr>
                <w:b/>
                <w:bCs/>
                <w:noProof/>
              </w:rPr>
              <w:t>1</w:t>
            </w:r>
            <w:r w:rsidR="00261E09">
              <w:rPr>
                <w:b/>
                <w:bCs/>
                <w:sz w:val="24"/>
                <w:szCs w:val="24"/>
              </w:rPr>
              <w:fldChar w:fldCharType="end"/>
            </w:r>
            <w:r>
              <w:t xml:space="preserve"> of </w:t>
            </w:r>
            <w:r w:rsidR="00261E09">
              <w:rPr>
                <w:b/>
                <w:bCs/>
                <w:sz w:val="24"/>
                <w:szCs w:val="24"/>
              </w:rPr>
              <w:fldChar w:fldCharType="begin"/>
            </w:r>
            <w:r>
              <w:rPr>
                <w:b/>
                <w:bCs/>
              </w:rPr>
              <w:instrText xml:space="preserve"> NUMPAGES  </w:instrText>
            </w:r>
            <w:r w:rsidR="00261E09">
              <w:rPr>
                <w:b/>
                <w:bCs/>
                <w:sz w:val="24"/>
                <w:szCs w:val="24"/>
              </w:rPr>
              <w:fldChar w:fldCharType="separate"/>
            </w:r>
            <w:r w:rsidR="00CC1532">
              <w:rPr>
                <w:b/>
                <w:bCs/>
                <w:noProof/>
              </w:rPr>
              <w:t>12</w:t>
            </w:r>
            <w:r w:rsidR="00261E09">
              <w:rPr>
                <w:b/>
                <w:bCs/>
                <w:sz w:val="24"/>
                <w:szCs w:val="24"/>
              </w:rPr>
              <w:fldChar w:fldCharType="end"/>
            </w:r>
          </w:p>
        </w:sdtContent>
      </w:sdt>
    </w:sdtContent>
  </w:sdt>
  <w:p w14:paraId="30BAA7AC"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D8513" w14:textId="77777777" w:rsidR="001E649F" w:rsidRDefault="001E649F" w:rsidP="0067233C">
      <w:pPr>
        <w:spacing w:after="0" w:line="240" w:lineRule="auto"/>
      </w:pPr>
      <w:r>
        <w:separator/>
      </w:r>
    </w:p>
  </w:footnote>
  <w:footnote w:type="continuationSeparator" w:id="0">
    <w:p w14:paraId="1BD1557D" w14:textId="77777777" w:rsidR="001E649F" w:rsidRDefault="001E649F"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5D4DFC"/>
    <w:multiLevelType w:val="hybridMultilevel"/>
    <w:tmpl w:val="50BE133E"/>
    <w:lvl w:ilvl="0" w:tplc="3BF0E46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0D74081"/>
    <w:multiLevelType w:val="multilevel"/>
    <w:tmpl w:val="9B6E3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62D0364"/>
    <w:multiLevelType w:val="multilevel"/>
    <w:tmpl w:val="704C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6690C6C"/>
    <w:multiLevelType w:val="multilevel"/>
    <w:tmpl w:val="696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CA01923"/>
    <w:multiLevelType w:val="hybridMultilevel"/>
    <w:tmpl w:val="C1D24B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FDA5245"/>
    <w:multiLevelType w:val="hybridMultilevel"/>
    <w:tmpl w:val="581A51AC"/>
    <w:lvl w:ilvl="0" w:tplc="40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28E037E"/>
    <w:multiLevelType w:val="hybridMultilevel"/>
    <w:tmpl w:val="7204A04E"/>
    <w:lvl w:ilvl="0" w:tplc="40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C36173F"/>
    <w:multiLevelType w:val="multilevel"/>
    <w:tmpl w:val="267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F54425C"/>
    <w:multiLevelType w:val="hybridMultilevel"/>
    <w:tmpl w:val="66FC4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9901549">
    <w:abstractNumId w:val="66"/>
  </w:num>
  <w:num w:numId="2" w16cid:durableId="287779047">
    <w:abstractNumId w:val="91"/>
  </w:num>
  <w:num w:numId="3" w16cid:durableId="1578393228">
    <w:abstractNumId w:val="48"/>
  </w:num>
  <w:num w:numId="4" w16cid:durableId="1773623198">
    <w:abstractNumId w:val="110"/>
  </w:num>
  <w:num w:numId="5" w16cid:durableId="742331705">
    <w:abstractNumId w:val="25"/>
  </w:num>
  <w:num w:numId="6" w16cid:durableId="425657544">
    <w:abstractNumId w:val="65"/>
  </w:num>
  <w:num w:numId="7" w16cid:durableId="1227228826">
    <w:abstractNumId w:val="59"/>
  </w:num>
  <w:num w:numId="8" w16cid:durableId="444078931">
    <w:abstractNumId w:val="89"/>
  </w:num>
  <w:num w:numId="9" w16cid:durableId="2032022634">
    <w:abstractNumId w:val="54"/>
  </w:num>
  <w:num w:numId="10" w16cid:durableId="398527118">
    <w:abstractNumId w:val="32"/>
  </w:num>
  <w:num w:numId="11" w16cid:durableId="1680233968">
    <w:abstractNumId w:val="123"/>
  </w:num>
  <w:num w:numId="12" w16cid:durableId="175462996">
    <w:abstractNumId w:val="106"/>
  </w:num>
  <w:num w:numId="13" w16cid:durableId="391730157">
    <w:abstractNumId w:val="93"/>
  </w:num>
  <w:num w:numId="14" w16cid:durableId="219482445">
    <w:abstractNumId w:val="70"/>
  </w:num>
  <w:num w:numId="15" w16cid:durableId="1893080703">
    <w:abstractNumId w:val="125"/>
  </w:num>
  <w:num w:numId="16" w16cid:durableId="1298412154">
    <w:abstractNumId w:val="7"/>
  </w:num>
  <w:num w:numId="17" w16cid:durableId="446044998">
    <w:abstractNumId w:val="2"/>
  </w:num>
  <w:num w:numId="18" w16cid:durableId="629213409">
    <w:abstractNumId w:val="92"/>
  </w:num>
  <w:num w:numId="19" w16cid:durableId="2036232322">
    <w:abstractNumId w:val="119"/>
  </w:num>
  <w:num w:numId="20" w16cid:durableId="692734313">
    <w:abstractNumId w:val="60"/>
  </w:num>
  <w:num w:numId="21" w16cid:durableId="1250701921">
    <w:abstractNumId w:val="21"/>
  </w:num>
  <w:num w:numId="22" w16cid:durableId="757092072">
    <w:abstractNumId w:val="22"/>
  </w:num>
  <w:num w:numId="23" w16cid:durableId="1343118435">
    <w:abstractNumId w:val="23"/>
  </w:num>
  <w:num w:numId="24" w16cid:durableId="1132408418">
    <w:abstractNumId w:val="37"/>
  </w:num>
  <w:num w:numId="25" w16cid:durableId="2105834100">
    <w:abstractNumId w:val="11"/>
  </w:num>
  <w:num w:numId="26" w16cid:durableId="1469476869">
    <w:abstractNumId w:val="34"/>
  </w:num>
  <w:num w:numId="27" w16cid:durableId="1672440421">
    <w:abstractNumId w:val="121"/>
  </w:num>
  <w:num w:numId="28" w16cid:durableId="578518344">
    <w:abstractNumId w:val="112"/>
  </w:num>
  <w:num w:numId="29" w16cid:durableId="192112078">
    <w:abstractNumId w:val="100"/>
  </w:num>
  <w:num w:numId="30" w16cid:durableId="1651708553">
    <w:abstractNumId w:val="114"/>
  </w:num>
  <w:num w:numId="31" w16cid:durableId="328756589">
    <w:abstractNumId w:val="56"/>
  </w:num>
  <w:num w:numId="32" w16cid:durableId="674721177">
    <w:abstractNumId w:val="87"/>
  </w:num>
  <w:num w:numId="33" w16cid:durableId="1713797610">
    <w:abstractNumId w:val="103"/>
  </w:num>
  <w:num w:numId="34" w16cid:durableId="254100305">
    <w:abstractNumId w:val="117"/>
  </w:num>
  <w:num w:numId="35" w16cid:durableId="290522828">
    <w:abstractNumId w:val="85"/>
  </w:num>
  <w:num w:numId="36" w16cid:durableId="280653330">
    <w:abstractNumId w:val="27"/>
  </w:num>
  <w:num w:numId="37" w16cid:durableId="1811095708">
    <w:abstractNumId w:val="104"/>
  </w:num>
  <w:num w:numId="38" w16cid:durableId="1884439394">
    <w:abstractNumId w:val="94"/>
  </w:num>
  <w:num w:numId="39" w16cid:durableId="2000882761">
    <w:abstractNumId w:val="115"/>
  </w:num>
  <w:num w:numId="40" w16cid:durableId="1924796185">
    <w:abstractNumId w:val="44"/>
  </w:num>
  <w:num w:numId="41" w16cid:durableId="641741076">
    <w:abstractNumId w:val="35"/>
  </w:num>
  <w:num w:numId="42" w16cid:durableId="240481814">
    <w:abstractNumId w:val="13"/>
  </w:num>
  <w:num w:numId="43" w16cid:durableId="197134465">
    <w:abstractNumId w:val="9"/>
  </w:num>
  <w:num w:numId="44" w16cid:durableId="1398632552">
    <w:abstractNumId w:val="62"/>
  </w:num>
  <w:num w:numId="45" w16cid:durableId="419521509">
    <w:abstractNumId w:val="28"/>
  </w:num>
  <w:num w:numId="46" w16cid:durableId="625038635">
    <w:abstractNumId w:val="41"/>
  </w:num>
  <w:num w:numId="47" w16cid:durableId="1888486521">
    <w:abstractNumId w:val="79"/>
  </w:num>
  <w:num w:numId="48" w16cid:durableId="659312463">
    <w:abstractNumId w:val="99"/>
  </w:num>
  <w:num w:numId="49" w16cid:durableId="220681832">
    <w:abstractNumId w:val="26"/>
  </w:num>
  <w:num w:numId="50" w16cid:durableId="1780833091">
    <w:abstractNumId w:val="39"/>
  </w:num>
  <w:num w:numId="51" w16cid:durableId="414935090">
    <w:abstractNumId w:val="43"/>
  </w:num>
  <w:num w:numId="52" w16cid:durableId="2135370538">
    <w:abstractNumId w:val="120"/>
  </w:num>
  <w:num w:numId="53" w16cid:durableId="666516613">
    <w:abstractNumId w:val="97"/>
  </w:num>
  <w:num w:numId="54" w16cid:durableId="669256977">
    <w:abstractNumId w:val="19"/>
  </w:num>
  <w:num w:numId="55" w16cid:durableId="545290240">
    <w:abstractNumId w:val="1"/>
  </w:num>
  <w:num w:numId="56" w16cid:durableId="1383020591">
    <w:abstractNumId w:val="0"/>
  </w:num>
  <w:num w:numId="57" w16cid:durableId="596213063">
    <w:abstractNumId w:val="77"/>
  </w:num>
  <w:num w:numId="58" w16cid:durableId="1783570181">
    <w:abstractNumId w:val="84"/>
  </w:num>
  <w:num w:numId="59" w16cid:durableId="936327859">
    <w:abstractNumId w:val="122"/>
  </w:num>
  <w:num w:numId="60" w16cid:durableId="1910262904">
    <w:abstractNumId w:val="127"/>
  </w:num>
  <w:num w:numId="61" w16cid:durableId="1870491504">
    <w:abstractNumId w:val="49"/>
  </w:num>
  <w:num w:numId="62" w16cid:durableId="1119766544">
    <w:abstractNumId w:val="58"/>
  </w:num>
  <w:num w:numId="63" w16cid:durableId="709456530">
    <w:abstractNumId w:val="102"/>
  </w:num>
  <w:num w:numId="64" w16cid:durableId="1478104245">
    <w:abstractNumId w:val="61"/>
  </w:num>
  <w:num w:numId="65" w16cid:durableId="1305817747">
    <w:abstractNumId w:val="50"/>
  </w:num>
  <w:num w:numId="66" w16cid:durableId="1484543379">
    <w:abstractNumId w:val="29"/>
  </w:num>
  <w:num w:numId="67" w16cid:durableId="1414352314">
    <w:abstractNumId w:val="8"/>
  </w:num>
  <w:num w:numId="68" w16cid:durableId="1277446937">
    <w:abstractNumId w:val="46"/>
  </w:num>
  <w:num w:numId="69" w16cid:durableId="1724450883">
    <w:abstractNumId w:val="96"/>
  </w:num>
  <w:num w:numId="70" w16cid:durableId="1913923452">
    <w:abstractNumId w:val="12"/>
  </w:num>
  <w:num w:numId="71" w16cid:durableId="317460587">
    <w:abstractNumId w:val="75"/>
  </w:num>
  <w:num w:numId="72" w16cid:durableId="1438016979">
    <w:abstractNumId w:val="40"/>
  </w:num>
  <w:num w:numId="73" w16cid:durableId="971208056">
    <w:abstractNumId w:val="82"/>
  </w:num>
  <w:num w:numId="74" w16cid:durableId="966163692">
    <w:abstractNumId w:val="108"/>
  </w:num>
  <w:num w:numId="75" w16cid:durableId="1943561263">
    <w:abstractNumId w:val="116"/>
  </w:num>
  <w:num w:numId="76" w16cid:durableId="1562869253">
    <w:abstractNumId w:val="98"/>
  </w:num>
  <w:num w:numId="77" w16cid:durableId="1238245896">
    <w:abstractNumId w:val="78"/>
  </w:num>
  <w:num w:numId="78" w16cid:durableId="220023745">
    <w:abstractNumId w:val="47"/>
  </w:num>
  <w:num w:numId="79" w16cid:durableId="1656684616">
    <w:abstractNumId w:val="76"/>
  </w:num>
  <w:num w:numId="80" w16cid:durableId="657922264">
    <w:abstractNumId w:val="71"/>
  </w:num>
  <w:num w:numId="81" w16cid:durableId="1366252754">
    <w:abstractNumId w:val="95"/>
  </w:num>
  <w:num w:numId="82" w16cid:durableId="1469472010">
    <w:abstractNumId w:val="74"/>
  </w:num>
  <w:num w:numId="83" w16cid:durableId="1446194784">
    <w:abstractNumId w:val="31"/>
  </w:num>
  <w:num w:numId="84" w16cid:durableId="811211798">
    <w:abstractNumId w:val="30"/>
  </w:num>
  <w:num w:numId="85" w16cid:durableId="1807887768">
    <w:abstractNumId w:val="118"/>
  </w:num>
  <w:num w:numId="86" w16cid:durableId="312685048">
    <w:abstractNumId w:val="18"/>
  </w:num>
  <w:num w:numId="87" w16cid:durableId="1456633778">
    <w:abstractNumId w:val="14"/>
  </w:num>
  <w:num w:numId="88" w16cid:durableId="265846518">
    <w:abstractNumId w:val="36"/>
  </w:num>
  <w:num w:numId="89" w16cid:durableId="468476730">
    <w:abstractNumId w:val="24"/>
  </w:num>
  <w:num w:numId="90" w16cid:durableId="403381568">
    <w:abstractNumId w:val="107"/>
  </w:num>
  <w:num w:numId="91" w16cid:durableId="1851066361">
    <w:abstractNumId w:val="72"/>
  </w:num>
  <w:num w:numId="92" w16cid:durableId="2065978993">
    <w:abstractNumId w:val="86"/>
  </w:num>
  <w:num w:numId="93" w16cid:durableId="995187381">
    <w:abstractNumId w:val="42"/>
  </w:num>
  <w:num w:numId="94" w16cid:durableId="2036466022">
    <w:abstractNumId w:val="73"/>
  </w:num>
  <w:num w:numId="95" w16cid:durableId="2103909147">
    <w:abstractNumId w:val="68"/>
  </w:num>
  <w:num w:numId="96" w16cid:durableId="1187864499">
    <w:abstractNumId w:val="17"/>
  </w:num>
  <w:num w:numId="97" w16cid:durableId="1287732437">
    <w:abstractNumId w:val="88"/>
  </w:num>
  <w:num w:numId="98" w16cid:durableId="191460939">
    <w:abstractNumId w:val="4"/>
  </w:num>
  <w:num w:numId="99" w16cid:durableId="2031486738">
    <w:abstractNumId w:val="52"/>
  </w:num>
  <w:num w:numId="100" w16cid:durableId="1777677697">
    <w:abstractNumId w:val="83"/>
  </w:num>
  <w:num w:numId="101" w16cid:durableId="1706632245">
    <w:abstractNumId w:val="6"/>
  </w:num>
  <w:num w:numId="102" w16cid:durableId="785347506">
    <w:abstractNumId w:val="45"/>
  </w:num>
  <w:num w:numId="103" w16cid:durableId="570310656">
    <w:abstractNumId w:val="101"/>
  </w:num>
  <w:num w:numId="104" w16cid:durableId="1647199690">
    <w:abstractNumId w:val="80"/>
  </w:num>
  <w:num w:numId="105" w16cid:durableId="1222013825">
    <w:abstractNumId w:val="33"/>
  </w:num>
  <w:num w:numId="106" w16cid:durableId="325404065">
    <w:abstractNumId w:val="53"/>
  </w:num>
  <w:num w:numId="107" w16cid:durableId="691880107">
    <w:abstractNumId w:val="51"/>
  </w:num>
  <w:num w:numId="108" w16cid:durableId="243732585">
    <w:abstractNumId w:val="15"/>
  </w:num>
  <w:num w:numId="109" w16cid:durableId="739904119">
    <w:abstractNumId w:val="38"/>
  </w:num>
  <w:num w:numId="110" w16cid:durableId="1505393314">
    <w:abstractNumId w:val="126"/>
  </w:num>
  <w:num w:numId="111" w16cid:durableId="1032075601">
    <w:abstractNumId w:val="5"/>
  </w:num>
  <w:num w:numId="112" w16cid:durableId="81755456">
    <w:abstractNumId w:val="64"/>
  </w:num>
  <w:num w:numId="113" w16cid:durableId="970939852">
    <w:abstractNumId w:val="113"/>
  </w:num>
  <w:num w:numId="114" w16cid:durableId="442502168">
    <w:abstractNumId w:val="3"/>
  </w:num>
  <w:num w:numId="115" w16cid:durableId="1835610465">
    <w:abstractNumId w:val="124"/>
  </w:num>
  <w:num w:numId="116" w16cid:durableId="1914855979">
    <w:abstractNumId w:val="111"/>
  </w:num>
  <w:num w:numId="117" w16cid:durableId="1963264963">
    <w:abstractNumId w:val="90"/>
  </w:num>
  <w:num w:numId="118" w16cid:durableId="1795521002">
    <w:abstractNumId w:val="81"/>
  </w:num>
  <w:num w:numId="119" w16cid:durableId="1828592914">
    <w:abstractNumId w:val="55"/>
  </w:num>
  <w:num w:numId="120" w16cid:durableId="1842237160">
    <w:abstractNumId w:val="10"/>
  </w:num>
  <w:num w:numId="121" w16cid:durableId="5447122">
    <w:abstractNumId w:val="109"/>
  </w:num>
  <w:num w:numId="122" w16cid:durableId="264196829">
    <w:abstractNumId w:val="69"/>
  </w:num>
  <w:num w:numId="123" w16cid:durableId="445927546">
    <w:abstractNumId w:val="67"/>
  </w:num>
  <w:num w:numId="124" w16cid:durableId="788474471">
    <w:abstractNumId w:val="16"/>
  </w:num>
  <w:num w:numId="125" w16cid:durableId="1565750900">
    <w:abstractNumId w:val="57"/>
  </w:num>
  <w:num w:numId="126" w16cid:durableId="1072851059">
    <w:abstractNumId w:val="105"/>
  </w:num>
  <w:num w:numId="127" w16cid:durableId="560289572">
    <w:abstractNumId w:val="20"/>
  </w:num>
  <w:num w:numId="128" w16cid:durableId="2036423391">
    <w:abstractNumId w:val="6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CC9"/>
    <w:rsid w:val="00012A86"/>
    <w:rsid w:val="000241CF"/>
    <w:rsid w:val="0004598F"/>
    <w:rsid w:val="000736D2"/>
    <w:rsid w:val="000823AF"/>
    <w:rsid w:val="001003D3"/>
    <w:rsid w:val="001243D2"/>
    <w:rsid w:val="0014003B"/>
    <w:rsid w:val="00144AC8"/>
    <w:rsid w:val="001E649F"/>
    <w:rsid w:val="00223EBA"/>
    <w:rsid w:val="00254ED9"/>
    <w:rsid w:val="00257D04"/>
    <w:rsid w:val="00261E09"/>
    <w:rsid w:val="0026368A"/>
    <w:rsid w:val="00277325"/>
    <w:rsid w:val="002C4068"/>
    <w:rsid w:val="002F02C8"/>
    <w:rsid w:val="003054AC"/>
    <w:rsid w:val="003245E0"/>
    <w:rsid w:val="00332BA0"/>
    <w:rsid w:val="00394EAB"/>
    <w:rsid w:val="003B3A00"/>
    <w:rsid w:val="00411F89"/>
    <w:rsid w:val="00424B67"/>
    <w:rsid w:val="0047129E"/>
    <w:rsid w:val="00473EF5"/>
    <w:rsid w:val="00480AC4"/>
    <w:rsid w:val="0048547F"/>
    <w:rsid w:val="004C19EA"/>
    <w:rsid w:val="004F36F7"/>
    <w:rsid w:val="00561FC8"/>
    <w:rsid w:val="00572702"/>
    <w:rsid w:val="0057552C"/>
    <w:rsid w:val="005A7C16"/>
    <w:rsid w:val="005B2DCB"/>
    <w:rsid w:val="005B3C72"/>
    <w:rsid w:val="005C00EA"/>
    <w:rsid w:val="005C1C91"/>
    <w:rsid w:val="005D3326"/>
    <w:rsid w:val="005D7683"/>
    <w:rsid w:val="00620CC9"/>
    <w:rsid w:val="00630412"/>
    <w:rsid w:val="00655FFC"/>
    <w:rsid w:val="0067233C"/>
    <w:rsid w:val="006A1209"/>
    <w:rsid w:val="00752783"/>
    <w:rsid w:val="007A365E"/>
    <w:rsid w:val="007A4087"/>
    <w:rsid w:val="007C5C6A"/>
    <w:rsid w:val="00824883"/>
    <w:rsid w:val="008467A1"/>
    <w:rsid w:val="008508EE"/>
    <w:rsid w:val="00852AB1"/>
    <w:rsid w:val="00867C47"/>
    <w:rsid w:val="00877677"/>
    <w:rsid w:val="008826E7"/>
    <w:rsid w:val="0088702A"/>
    <w:rsid w:val="008A4C15"/>
    <w:rsid w:val="008E0CDF"/>
    <w:rsid w:val="00903681"/>
    <w:rsid w:val="00912A40"/>
    <w:rsid w:val="00912F2F"/>
    <w:rsid w:val="0098064B"/>
    <w:rsid w:val="00993E51"/>
    <w:rsid w:val="009C0E8F"/>
    <w:rsid w:val="00A03191"/>
    <w:rsid w:val="00A260E1"/>
    <w:rsid w:val="00A33450"/>
    <w:rsid w:val="00AA174E"/>
    <w:rsid w:val="00AD45AA"/>
    <w:rsid w:val="00B87EBB"/>
    <w:rsid w:val="00BA507A"/>
    <w:rsid w:val="00BB46B1"/>
    <w:rsid w:val="00BD668C"/>
    <w:rsid w:val="00BF1FAC"/>
    <w:rsid w:val="00C4331F"/>
    <w:rsid w:val="00C86560"/>
    <w:rsid w:val="00CB24F8"/>
    <w:rsid w:val="00CC1532"/>
    <w:rsid w:val="00CC341E"/>
    <w:rsid w:val="00CC3BFC"/>
    <w:rsid w:val="00CF25F0"/>
    <w:rsid w:val="00D16FDA"/>
    <w:rsid w:val="00D17BA2"/>
    <w:rsid w:val="00D30C4B"/>
    <w:rsid w:val="00D43941"/>
    <w:rsid w:val="00D4473A"/>
    <w:rsid w:val="00DC0C29"/>
    <w:rsid w:val="00DD73A9"/>
    <w:rsid w:val="00DF46ED"/>
    <w:rsid w:val="00E160AD"/>
    <w:rsid w:val="00E701E8"/>
    <w:rsid w:val="00E90E8E"/>
    <w:rsid w:val="00EC628A"/>
    <w:rsid w:val="00F143E0"/>
    <w:rsid w:val="00F55C02"/>
    <w:rsid w:val="00F61C66"/>
    <w:rsid w:val="00F620D8"/>
    <w:rsid w:val="00F7013C"/>
    <w:rsid w:val="00F712EF"/>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1104"/>
  <w15:docId w15:val="{1F5BD472-5E48-474F-A590-3E65F70A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C72"/>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16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6FDA"/>
    <w:rPr>
      <w:rFonts w:ascii="Tahoma" w:hAnsi="Tahoma" w:cs="Tahoma"/>
      <w:sz w:val="16"/>
      <w:szCs w:val="16"/>
    </w:rPr>
  </w:style>
  <w:style w:type="paragraph" w:styleId="NormalWeb">
    <w:name w:val="Normal (Web)"/>
    <w:basedOn w:val="Normal"/>
    <w:uiPriority w:val="99"/>
    <w:unhideWhenUsed/>
    <w:rsid w:val="00F61C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old">
    <w:name w:val="bold"/>
    <w:basedOn w:val="DefaultParagraphFont"/>
    <w:rsid w:val="007C5C6A"/>
  </w:style>
  <w:style w:type="character" w:customStyle="1" w:styleId="italic">
    <w:name w:val="italic"/>
    <w:basedOn w:val="DefaultParagraphFont"/>
    <w:rsid w:val="008508EE"/>
  </w:style>
  <w:style w:type="character" w:styleId="HTMLCode">
    <w:name w:val="HTML Code"/>
    <w:basedOn w:val="DefaultParagraphFont"/>
    <w:uiPriority w:val="99"/>
    <w:semiHidden/>
    <w:unhideWhenUsed/>
    <w:rsid w:val="00630412"/>
    <w:rPr>
      <w:rFonts w:ascii="Courier New" w:eastAsia="Times New Roman" w:hAnsi="Courier New" w:cs="Courier New"/>
      <w:sz w:val="20"/>
      <w:szCs w:val="20"/>
    </w:rPr>
  </w:style>
  <w:style w:type="paragraph" w:customStyle="1" w:styleId="notep1">
    <w:name w:val="notep1"/>
    <w:basedOn w:val="Normal"/>
    <w:rsid w:val="00CC34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ite">
    <w:name w:val="HTML Cite"/>
    <w:basedOn w:val="DefaultParagraphFont"/>
    <w:uiPriority w:val="99"/>
    <w:semiHidden/>
    <w:unhideWhenUsed/>
    <w:rsid w:val="00CC34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pls/topic/lookup?ctx=en/solutions/cis-oci-benchmark&amp;id=github-oci-cis-landingzone-quickstar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899</TotalTime>
  <Pages>1</Pages>
  <Words>2246</Words>
  <Characters>12806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38</cp:revision>
  <dcterms:created xsi:type="dcterms:W3CDTF">2022-07-23T18:21:00Z</dcterms:created>
  <dcterms:modified xsi:type="dcterms:W3CDTF">2023-05-08T13:59:00Z</dcterms:modified>
</cp:coreProperties>
</file>