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F78C3" w:rsidRDefault="008F78C3" w:rsidP="008F78C3">
      <w:pPr>
        <w:rPr>
          <w:rFonts w:cstheme="minorHAnsi"/>
          <w:b/>
          <w:sz w:val="40"/>
          <w:szCs w:val="40"/>
        </w:rPr>
      </w:pPr>
    </w:p>
    <w:p w:rsidR="008F78C3" w:rsidRDefault="008F78C3" w:rsidP="008F78C3">
      <w:pPr>
        <w:rPr>
          <w:rFonts w:cstheme="minorHAnsi"/>
          <w:b/>
          <w:sz w:val="40"/>
          <w:szCs w:val="40"/>
        </w:rPr>
      </w:pPr>
    </w:p>
    <w:p w:rsidR="008F78C3" w:rsidRDefault="008F78C3" w:rsidP="008F78C3">
      <w:pPr>
        <w:rPr>
          <w:rFonts w:cstheme="minorHAnsi"/>
          <w:b/>
          <w:sz w:val="40"/>
          <w:szCs w:val="40"/>
        </w:rPr>
      </w:pPr>
    </w:p>
    <w:p w:rsidR="008F78C3" w:rsidRDefault="008F78C3" w:rsidP="008F78C3">
      <w:pPr>
        <w:rPr>
          <w:rFonts w:cstheme="minorHAnsi"/>
          <w:b/>
          <w:sz w:val="40"/>
          <w:szCs w:val="40"/>
        </w:rPr>
      </w:pPr>
    </w:p>
    <w:p w:rsidR="008F78C3" w:rsidRDefault="008F78C3" w:rsidP="008F78C3">
      <w:pPr>
        <w:rPr>
          <w:rFonts w:cstheme="minorHAnsi"/>
          <w:b/>
          <w:sz w:val="40"/>
          <w:szCs w:val="40"/>
        </w:rPr>
      </w:pPr>
    </w:p>
    <w:p w:rsidR="008F78C3" w:rsidRDefault="008F78C3" w:rsidP="008F78C3">
      <w:pPr>
        <w:rPr>
          <w:rFonts w:cstheme="minorHAnsi"/>
          <w:b/>
          <w:sz w:val="40"/>
          <w:szCs w:val="40"/>
        </w:rPr>
      </w:pPr>
    </w:p>
    <w:p w:rsidR="008F78C3" w:rsidRDefault="008F78C3" w:rsidP="008F78C3">
      <w:pPr>
        <w:rPr>
          <w:rFonts w:cstheme="minorHAnsi"/>
          <w:b/>
          <w:sz w:val="40"/>
          <w:szCs w:val="40"/>
        </w:rPr>
      </w:pPr>
    </w:p>
    <w:p w:rsidR="008F78C3" w:rsidRDefault="008F78C3" w:rsidP="008F78C3">
      <w:pPr>
        <w:rPr>
          <w:rFonts w:cstheme="minorHAnsi"/>
          <w:b/>
          <w:sz w:val="40"/>
          <w:szCs w:val="40"/>
        </w:rPr>
      </w:pPr>
    </w:p>
    <w:p w:rsidR="008F78C3" w:rsidRPr="008F78C3" w:rsidRDefault="008F78C3" w:rsidP="008F78C3">
      <w:pPr>
        <w:jc w:val="center"/>
        <w:rPr>
          <w:rFonts w:cstheme="minorHAnsi"/>
          <w:b/>
          <w:sz w:val="40"/>
          <w:szCs w:val="40"/>
        </w:rPr>
      </w:pPr>
      <w:r w:rsidRPr="008F78C3">
        <w:rPr>
          <w:rFonts w:cstheme="minorHAnsi"/>
          <w:b/>
          <w:sz w:val="40"/>
          <w:szCs w:val="40"/>
        </w:rPr>
        <w:t>Viewing Tenancy Details</w:t>
      </w:r>
    </w:p>
    <w:p w:rsidR="008F78C3" w:rsidRDefault="008F78C3" w:rsidP="008F78C3"/>
    <w:p w:rsidR="008F78C3" w:rsidRDefault="008F78C3" w:rsidP="008F78C3"/>
    <w:p w:rsidR="008F78C3" w:rsidRDefault="008F78C3" w:rsidP="008F78C3"/>
    <w:p w:rsidR="008F78C3" w:rsidRDefault="008F78C3" w:rsidP="008F78C3"/>
    <w:p w:rsidR="008F78C3" w:rsidRDefault="008F78C3" w:rsidP="008F78C3"/>
    <w:p w:rsidR="008F78C3" w:rsidRDefault="008F78C3" w:rsidP="008F78C3"/>
    <w:p w:rsidR="008F78C3" w:rsidRDefault="008F78C3" w:rsidP="008F78C3"/>
    <w:p w:rsidR="008F78C3" w:rsidRDefault="008F78C3" w:rsidP="008F78C3"/>
    <w:p w:rsidR="008F78C3" w:rsidRDefault="008F78C3" w:rsidP="008F78C3"/>
    <w:p w:rsidR="008F78C3" w:rsidRDefault="008F78C3" w:rsidP="008F78C3"/>
    <w:p w:rsidR="008F78C3" w:rsidRDefault="008F78C3" w:rsidP="008F78C3"/>
    <w:p w:rsidR="008F78C3" w:rsidRDefault="008F78C3" w:rsidP="008F78C3"/>
    <w:p w:rsidR="008F78C3" w:rsidRDefault="008F78C3" w:rsidP="008F78C3"/>
    <w:p w:rsidR="008F78C3" w:rsidRDefault="008F78C3" w:rsidP="008F78C3"/>
    <w:p w:rsidR="00AA44C3" w:rsidRPr="008F78C3" w:rsidRDefault="008F78C3" w:rsidP="001166DD">
      <w:pPr>
        <w:spacing w:line="360" w:lineRule="auto"/>
        <w:jc w:val="both"/>
        <w:rPr>
          <w:sz w:val="24"/>
          <w:szCs w:val="24"/>
        </w:rPr>
      </w:pPr>
      <w:r w:rsidRPr="008F78C3">
        <w:rPr>
          <w:sz w:val="24"/>
          <w:szCs w:val="24"/>
        </w:rPr>
        <w:lastRenderedPageBreak/>
        <w:t>This topic describes options on the tenancy details page in the Console.</w:t>
      </w:r>
    </w:p>
    <w:p w:rsidR="008F78C3" w:rsidRPr="008F78C3" w:rsidRDefault="008F78C3" w:rsidP="001166DD">
      <w:pPr>
        <w:spacing w:line="360" w:lineRule="auto"/>
        <w:jc w:val="both"/>
        <w:rPr>
          <w:rFonts w:cstheme="minorHAnsi"/>
          <w:b/>
          <w:sz w:val="28"/>
          <w:szCs w:val="28"/>
        </w:rPr>
      </w:pPr>
      <w:r w:rsidRPr="008F78C3">
        <w:rPr>
          <w:rFonts w:cstheme="minorHAnsi"/>
          <w:b/>
          <w:sz w:val="28"/>
          <w:szCs w:val="28"/>
        </w:rPr>
        <w:t xml:space="preserve">Details </w:t>
      </w:r>
      <w:r w:rsidRPr="008F78C3">
        <w:rPr>
          <w:rFonts w:cstheme="minorHAnsi"/>
          <w:b/>
          <w:sz w:val="28"/>
          <w:szCs w:val="28"/>
        </w:rPr>
        <w:t>about</w:t>
      </w:r>
      <w:r w:rsidRPr="008F78C3">
        <w:rPr>
          <w:rFonts w:cstheme="minorHAnsi"/>
          <w:b/>
          <w:sz w:val="28"/>
          <w:szCs w:val="28"/>
        </w:rPr>
        <w:t xml:space="preserve"> Your Tenancy</w:t>
      </w:r>
    </w:p>
    <w:p w:rsidR="008F78C3" w:rsidRPr="008F78C3" w:rsidRDefault="008F78C3" w:rsidP="001166DD">
      <w:pPr>
        <w:spacing w:line="360" w:lineRule="auto"/>
        <w:jc w:val="both"/>
        <w:rPr>
          <w:sz w:val="24"/>
          <w:szCs w:val="24"/>
        </w:rPr>
      </w:pPr>
      <w:r w:rsidRPr="008F78C3">
        <w:rPr>
          <w:sz w:val="24"/>
          <w:szCs w:val="24"/>
        </w:rPr>
        <w:t>The tenancy details page provides the following information about your tenancy:</w:t>
      </w:r>
    </w:p>
    <w:p w:rsidR="008F78C3" w:rsidRPr="008F78C3" w:rsidRDefault="008F78C3" w:rsidP="001166DD">
      <w:pPr>
        <w:spacing w:line="360" w:lineRule="auto"/>
        <w:jc w:val="both"/>
        <w:rPr>
          <w:b/>
        </w:rPr>
      </w:pPr>
      <w:r w:rsidRPr="008F78C3">
        <w:rPr>
          <w:b/>
        </w:rPr>
        <w:t>TENANCY OCID</w:t>
      </w:r>
    </w:p>
    <w:p w:rsidR="008F78C3" w:rsidRPr="008F78C3" w:rsidRDefault="008F78C3" w:rsidP="001166DD">
      <w:pPr>
        <w:spacing w:line="360" w:lineRule="auto"/>
        <w:jc w:val="both"/>
        <w:rPr>
          <w:sz w:val="24"/>
          <w:szCs w:val="24"/>
        </w:rPr>
      </w:pPr>
      <w:r w:rsidRPr="008F78C3">
        <w:rPr>
          <w:sz w:val="24"/>
          <w:szCs w:val="24"/>
        </w:rPr>
        <w:t>Every Oracle Cloud Infrastructure resource has an Oracle-assigned unique ID called an Oracle Cloud Identifier (OCID). You need your tenancy's OCID to use the API. You'll also need it when contacting support.</w:t>
      </w:r>
    </w:p>
    <w:p w:rsidR="008F78C3" w:rsidRPr="008F78C3" w:rsidRDefault="008F78C3" w:rsidP="001166DD">
      <w:pPr>
        <w:spacing w:line="360" w:lineRule="auto"/>
        <w:jc w:val="both"/>
        <w:rPr>
          <w:b/>
        </w:rPr>
      </w:pPr>
      <w:r w:rsidRPr="008F78C3">
        <w:rPr>
          <w:b/>
        </w:rPr>
        <w:t>HOME REGION</w:t>
      </w:r>
    </w:p>
    <w:p w:rsidR="008F78C3" w:rsidRPr="008F78C3" w:rsidRDefault="008F78C3" w:rsidP="001166DD">
      <w:pPr>
        <w:spacing w:line="360" w:lineRule="auto"/>
        <w:jc w:val="both"/>
        <w:rPr>
          <w:sz w:val="24"/>
          <w:szCs w:val="24"/>
        </w:rPr>
      </w:pPr>
      <w:r w:rsidRPr="008F78C3">
        <w:rPr>
          <w:sz w:val="24"/>
          <w:szCs w:val="24"/>
        </w:rPr>
        <w:t>When you sign up for Oracle Cloud Infrastructure, Oracle creates a tenancy for you in one of the available regions. This is your home region. Your home region is where your IAM resources are defined. For more information about the home region, see The Home Region.</w:t>
      </w:r>
    </w:p>
    <w:p w:rsidR="008F78C3" w:rsidRPr="008F78C3" w:rsidRDefault="008F78C3" w:rsidP="001166DD">
      <w:pPr>
        <w:spacing w:line="360" w:lineRule="auto"/>
        <w:jc w:val="both"/>
        <w:rPr>
          <w:b/>
        </w:rPr>
      </w:pPr>
      <w:r w:rsidRPr="008F78C3">
        <w:rPr>
          <w:b/>
        </w:rPr>
        <w:t>NAME</w:t>
      </w:r>
    </w:p>
    <w:p w:rsidR="008F78C3" w:rsidRPr="008F78C3" w:rsidRDefault="008F78C3" w:rsidP="001166DD">
      <w:pPr>
        <w:spacing w:line="360" w:lineRule="auto"/>
        <w:jc w:val="both"/>
        <w:rPr>
          <w:sz w:val="24"/>
          <w:szCs w:val="24"/>
        </w:rPr>
      </w:pPr>
      <w:r w:rsidRPr="008F78C3">
        <w:rPr>
          <w:sz w:val="24"/>
          <w:szCs w:val="24"/>
        </w:rPr>
        <w:t>T</w:t>
      </w:r>
      <w:r w:rsidRPr="008F78C3">
        <w:rPr>
          <w:sz w:val="24"/>
          <w:szCs w:val="24"/>
        </w:rPr>
        <w:t>enancy name. Your tenancy name is typically chosen when you set up your Oracle Cloud account.</w:t>
      </w:r>
    </w:p>
    <w:p w:rsidR="008F78C3" w:rsidRDefault="008F78C3" w:rsidP="001166DD">
      <w:pPr>
        <w:spacing w:line="360" w:lineRule="auto"/>
        <w:jc w:val="both"/>
        <w:rPr>
          <w:b/>
        </w:rPr>
      </w:pPr>
      <w:r>
        <w:rPr>
          <w:b/>
        </w:rPr>
        <w:t>CSI NUMBER</w:t>
      </w:r>
    </w:p>
    <w:p w:rsidR="008F78C3" w:rsidRPr="008F78C3" w:rsidRDefault="008F78C3" w:rsidP="001166DD">
      <w:pPr>
        <w:spacing w:line="360" w:lineRule="auto"/>
        <w:jc w:val="both"/>
        <w:rPr>
          <w:sz w:val="24"/>
          <w:szCs w:val="24"/>
        </w:rPr>
      </w:pPr>
      <w:r w:rsidRPr="008F78C3">
        <w:rPr>
          <w:sz w:val="24"/>
          <w:szCs w:val="24"/>
        </w:rPr>
        <w:t>Customer Service Identifier for Oracle Support.</w:t>
      </w:r>
    </w:p>
    <w:p w:rsidR="008F78C3" w:rsidRPr="008F78C3" w:rsidRDefault="008F78C3" w:rsidP="001166DD">
      <w:pPr>
        <w:spacing w:line="360" w:lineRule="auto"/>
        <w:jc w:val="both"/>
        <w:rPr>
          <w:b/>
        </w:rPr>
      </w:pPr>
      <w:r w:rsidRPr="008F78C3">
        <w:rPr>
          <w:b/>
        </w:rPr>
        <w:t>AUDIT RETENTION PERIOD</w:t>
      </w:r>
    </w:p>
    <w:p w:rsidR="008F78C3" w:rsidRPr="008F78C3" w:rsidRDefault="008F78C3" w:rsidP="001166DD">
      <w:pPr>
        <w:spacing w:line="360" w:lineRule="auto"/>
        <w:jc w:val="both"/>
        <w:rPr>
          <w:sz w:val="24"/>
          <w:szCs w:val="24"/>
        </w:rPr>
      </w:pPr>
      <w:r w:rsidRPr="008F78C3">
        <w:rPr>
          <w:sz w:val="24"/>
          <w:szCs w:val="24"/>
        </w:rPr>
        <w:t>The retention period for the Audit service logs. The value of the retention period setting affects all regions and all compartments for this tenancy. You can't set different retention periods for different regions or compartments. For more information about this setting, see Viewing Audit Log Events.</w:t>
      </w:r>
    </w:p>
    <w:p w:rsidR="008F78C3" w:rsidRPr="008F78C3" w:rsidRDefault="008F78C3" w:rsidP="001166DD">
      <w:pPr>
        <w:spacing w:line="360" w:lineRule="auto"/>
        <w:jc w:val="both"/>
        <w:rPr>
          <w:b/>
        </w:rPr>
      </w:pPr>
      <w:r w:rsidRPr="008F78C3">
        <w:rPr>
          <w:b/>
        </w:rPr>
        <w:t>OBJECT STORAGE DESIGNATED COMPARTMENTS AND NAMESPACE</w:t>
      </w:r>
    </w:p>
    <w:p w:rsidR="008F78C3" w:rsidRPr="008F78C3" w:rsidRDefault="008F78C3" w:rsidP="001166DD">
      <w:pPr>
        <w:spacing w:line="360" w:lineRule="auto"/>
        <w:jc w:val="both"/>
        <w:rPr>
          <w:sz w:val="24"/>
          <w:szCs w:val="24"/>
        </w:rPr>
      </w:pPr>
      <w:r w:rsidRPr="008F78C3">
        <w:rPr>
          <w:sz w:val="24"/>
          <w:szCs w:val="24"/>
        </w:rPr>
        <w:t xml:space="preserve">The Object Storage service provides API support for both Amazon S3 Compatibility API and Swift API. By default, buckets created using the Amazon S3 Compatibility API or the Swift API are created in the root compartment of the Oracle Cloud Infrastructure tenancy. You can designate a different compartment for the Amazon S3 Compatibility API or Swift API to </w:t>
      </w:r>
      <w:r w:rsidRPr="008F78C3">
        <w:rPr>
          <w:sz w:val="24"/>
          <w:szCs w:val="24"/>
        </w:rPr>
        <w:lastRenderedPageBreak/>
        <w:t>create buckets in. For more information, see Designating Compartments for the Amazon S3 Compatibility and Swift APIs.</w:t>
      </w:r>
    </w:p>
    <w:p w:rsidR="008F78C3" w:rsidRPr="008F78C3" w:rsidRDefault="008F78C3" w:rsidP="001166DD">
      <w:pPr>
        <w:spacing w:line="360" w:lineRule="auto"/>
        <w:jc w:val="both"/>
        <w:rPr>
          <w:b/>
        </w:rPr>
      </w:pPr>
      <w:r w:rsidRPr="008F78C3">
        <w:rPr>
          <w:b/>
        </w:rPr>
        <w:t>TAGS</w:t>
      </w:r>
    </w:p>
    <w:p w:rsidR="008F78C3" w:rsidRPr="008F78C3" w:rsidRDefault="008F78C3" w:rsidP="001166DD">
      <w:pPr>
        <w:spacing w:line="360" w:lineRule="auto"/>
        <w:jc w:val="both"/>
        <w:rPr>
          <w:sz w:val="24"/>
          <w:szCs w:val="24"/>
        </w:rPr>
      </w:pPr>
      <w:r w:rsidRPr="008F78C3">
        <w:rPr>
          <w:sz w:val="24"/>
          <w:szCs w:val="24"/>
        </w:rPr>
        <w:t xml:space="preserve">Tagging allows you to define keys and values and associate them with resources. You can then use the tags to help you organize and list resources based on your business needs. If you have permissions to manage the tenancy, you also have permissions to apply free-form tags. To apply a defined tag, you must have permissions to use the tag namespace. </w:t>
      </w:r>
    </w:p>
    <w:p w:rsidR="008F78C3" w:rsidRPr="008F78C3" w:rsidRDefault="008F78C3" w:rsidP="001166DD">
      <w:pPr>
        <w:spacing w:line="360" w:lineRule="auto"/>
        <w:jc w:val="both"/>
        <w:rPr>
          <w:b/>
        </w:rPr>
      </w:pPr>
      <w:r w:rsidRPr="008F78C3">
        <w:rPr>
          <w:b/>
        </w:rPr>
        <w:t>SERVICE LIMITS</w:t>
      </w:r>
    </w:p>
    <w:p w:rsidR="008F78C3" w:rsidRDefault="008F78C3" w:rsidP="001166DD">
      <w:pPr>
        <w:spacing w:line="360" w:lineRule="auto"/>
        <w:jc w:val="both"/>
        <w:rPr>
          <w:sz w:val="24"/>
          <w:szCs w:val="24"/>
        </w:rPr>
      </w:pPr>
      <w:r w:rsidRPr="008F78C3">
        <w:rPr>
          <w:sz w:val="24"/>
          <w:szCs w:val="24"/>
        </w:rPr>
        <w:t>The limits allotted to your tenancy and usage against these limits. Not all service resources are included in the list shown here on the Console. For more information or to request an increase, see Service Limits.</w:t>
      </w:r>
    </w:p>
    <w:p w:rsidR="00E07602" w:rsidRDefault="00E07602" w:rsidP="001166DD">
      <w:pPr>
        <w:spacing w:line="360" w:lineRule="auto"/>
        <w:jc w:val="both"/>
        <w:rPr>
          <w:b/>
          <w:sz w:val="28"/>
          <w:szCs w:val="28"/>
        </w:rPr>
      </w:pPr>
      <w:r>
        <w:rPr>
          <w:b/>
          <w:sz w:val="28"/>
          <w:szCs w:val="28"/>
        </w:rPr>
        <w:t>Required IAM Policy</w:t>
      </w:r>
    </w:p>
    <w:p w:rsidR="00D14C30" w:rsidRDefault="00D14C30" w:rsidP="001166DD">
      <w:pPr>
        <w:spacing w:line="360" w:lineRule="auto"/>
        <w:jc w:val="both"/>
        <w:rPr>
          <w:sz w:val="24"/>
          <w:szCs w:val="24"/>
        </w:rPr>
      </w:pPr>
      <w:r w:rsidRPr="00D14C30">
        <w:rPr>
          <w:sz w:val="24"/>
          <w:szCs w:val="24"/>
        </w:rPr>
        <w:t xml:space="preserve"> Administrators group have the required access to manage the tenancy.</w:t>
      </w:r>
    </w:p>
    <w:p w:rsidR="001166DD" w:rsidRPr="001166DD" w:rsidRDefault="001166DD" w:rsidP="001166DD">
      <w:pPr>
        <w:spacing w:line="360" w:lineRule="auto"/>
        <w:jc w:val="both"/>
        <w:rPr>
          <w:sz w:val="24"/>
          <w:szCs w:val="24"/>
        </w:rPr>
      </w:pPr>
      <w:r w:rsidRPr="001166DD">
        <w:rPr>
          <w:sz w:val="24"/>
          <w:szCs w:val="24"/>
        </w:rPr>
        <w:t>Granting a user or a group the identity domain administrator role in the default domain is equivalent to granting them full administrator permissions for the tenancy. This behaviour applies to the default domain only. Granting users or groups the identity domain administrator role for domains other than the default domain, grants them full administrator permissions to only that domain. At least one administrator for the identity domain must be granted the identity domain administrator role directly. This is in addition to any identity domain administrator roles granted by group membership.</w:t>
      </w:r>
      <w:bookmarkStart w:id="0" w:name="_GoBack"/>
      <w:bookmarkEnd w:id="0"/>
    </w:p>
    <w:sectPr w:rsidR="001166DD" w:rsidRPr="001166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7F0694"/>
    <w:multiLevelType w:val="multilevel"/>
    <w:tmpl w:val="774E887E"/>
    <w:lvl w:ilvl="0">
      <w:start w:val="1"/>
      <w:numFmt w:val="decimal"/>
      <w:pStyle w:val="Heading1"/>
      <w:suff w:val="space"/>
      <w:lvlText w:val="Chapter %1"/>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suff w:val="nothing"/>
      <w:lvlText w:val=""/>
      <w:lvlJc w:val="left"/>
      <w:pPr>
        <w:ind w:left="0" w:firstLine="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78C3"/>
    <w:rsid w:val="001166DD"/>
    <w:rsid w:val="00373AD9"/>
    <w:rsid w:val="008F78C3"/>
    <w:rsid w:val="00AA44C3"/>
    <w:rsid w:val="00D14C30"/>
    <w:rsid w:val="00E076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3AD9"/>
  </w:style>
  <w:style w:type="paragraph" w:styleId="Heading1">
    <w:name w:val="heading 1"/>
    <w:basedOn w:val="Normal"/>
    <w:next w:val="Normal"/>
    <w:link w:val="Heading1Char"/>
    <w:uiPriority w:val="9"/>
    <w:qFormat/>
    <w:rsid w:val="00373AD9"/>
    <w:pPr>
      <w:keepNext/>
      <w:keepLines/>
      <w:numPr>
        <w:numId w:val="9"/>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73AD9"/>
    <w:pPr>
      <w:keepNext/>
      <w:keepLines/>
      <w:numPr>
        <w:ilvl w:val="1"/>
        <w:numId w:val="9"/>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373AD9"/>
    <w:pPr>
      <w:keepNext/>
      <w:keepLines/>
      <w:numPr>
        <w:ilvl w:val="2"/>
        <w:numId w:val="9"/>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373AD9"/>
    <w:pPr>
      <w:keepNext/>
      <w:keepLines/>
      <w:numPr>
        <w:ilvl w:val="3"/>
        <w:numId w:val="9"/>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373AD9"/>
    <w:pPr>
      <w:keepNext/>
      <w:keepLines/>
      <w:numPr>
        <w:ilvl w:val="4"/>
        <w:numId w:val="9"/>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373AD9"/>
    <w:pPr>
      <w:keepNext/>
      <w:keepLines/>
      <w:numPr>
        <w:ilvl w:val="5"/>
        <w:numId w:val="9"/>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373AD9"/>
    <w:pPr>
      <w:keepNext/>
      <w:keepLines/>
      <w:numPr>
        <w:ilvl w:val="6"/>
        <w:numId w:val="9"/>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73AD9"/>
    <w:pPr>
      <w:keepNext/>
      <w:keepLines/>
      <w:numPr>
        <w:ilvl w:val="7"/>
        <w:numId w:val="9"/>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373AD9"/>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3AD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373AD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373AD9"/>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373AD9"/>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373AD9"/>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373AD9"/>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373AD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373AD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373AD9"/>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373AD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73AD9"/>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373AD9"/>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373AD9"/>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373AD9"/>
    <w:rPr>
      <w:b/>
      <w:bCs/>
    </w:rPr>
  </w:style>
  <w:style w:type="character" w:styleId="Emphasis">
    <w:name w:val="Emphasis"/>
    <w:basedOn w:val="DefaultParagraphFont"/>
    <w:uiPriority w:val="20"/>
    <w:qFormat/>
    <w:rsid w:val="00373AD9"/>
    <w:rPr>
      <w:i/>
      <w:iCs/>
    </w:rPr>
  </w:style>
  <w:style w:type="paragraph" w:styleId="ListParagraph">
    <w:name w:val="List Paragraph"/>
    <w:basedOn w:val="Normal"/>
    <w:uiPriority w:val="34"/>
    <w:qFormat/>
    <w:rsid w:val="00373AD9"/>
    <w:pPr>
      <w:ind w:left="720"/>
      <w:contextualSpacing/>
    </w:pPr>
  </w:style>
  <w:style w:type="character" w:styleId="SubtleEmphasis">
    <w:name w:val="Subtle Emphasis"/>
    <w:basedOn w:val="DefaultParagraphFont"/>
    <w:uiPriority w:val="19"/>
    <w:qFormat/>
    <w:rsid w:val="00373AD9"/>
    <w:rPr>
      <w:i/>
      <w:iCs/>
      <w:color w:val="808080" w:themeColor="text1" w:themeTint="7F"/>
    </w:rPr>
  </w:style>
  <w:style w:type="character" w:styleId="IntenseEmphasis">
    <w:name w:val="Intense Emphasis"/>
    <w:basedOn w:val="DefaultParagraphFont"/>
    <w:uiPriority w:val="21"/>
    <w:qFormat/>
    <w:rsid w:val="00373AD9"/>
    <w:rPr>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3AD9"/>
  </w:style>
  <w:style w:type="paragraph" w:styleId="Heading1">
    <w:name w:val="heading 1"/>
    <w:basedOn w:val="Normal"/>
    <w:next w:val="Normal"/>
    <w:link w:val="Heading1Char"/>
    <w:uiPriority w:val="9"/>
    <w:qFormat/>
    <w:rsid w:val="00373AD9"/>
    <w:pPr>
      <w:keepNext/>
      <w:keepLines/>
      <w:numPr>
        <w:numId w:val="9"/>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73AD9"/>
    <w:pPr>
      <w:keepNext/>
      <w:keepLines/>
      <w:numPr>
        <w:ilvl w:val="1"/>
        <w:numId w:val="9"/>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373AD9"/>
    <w:pPr>
      <w:keepNext/>
      <w:keepLines/>
      <w:numPr>
        <w:ilvl w:val="2"/>
        <w:numId w:val="9"/>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373AD9"/>
    <w:pPr>
      <w:keepNext/>
      <w:keepLines/>
      <w:numPr>
        <w:ilvl w:val="3"/>
        <w:numId w:val="9"/>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373AD9"/>
    <w:pPr>
      <w:keepNext/>
      <w:keepLines/>
      <w:numPr>
        <w:ilvl w:val="4"/>
        <w:numId w:val="9"/>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373AD9"/>
    <w:pPr>
      <w:keepNext/>
      <w:keepLines/>
      <w:numPr>
        <w:ilvl w:val="5"/>
        <w:numId w:val="9"/>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373AD9"/>
    <w:pPr>
      <w:keepNext/>
      <w:keepLines/>
      <w:numPr>
        <w:ilvl w:val="6"/>
        <w:numId w:val="9"/>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73AD9"/>
    <w:pPr>
      <w:keepNext/>
      <w:keepLines/>
      <w:numPr>
        <w:ilvl w:val="7"/>
        <w:numId w:val="9"/>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373AD9"/>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3AD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373AD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373AD9"/>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373AD9"/>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373AD9"/>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373AD9"/>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373AD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373AD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373AD9"/>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373AD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73AD9"/>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373AD9"/>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373AD9"/>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373AD9"/>
    <w:rPr>
      <w:b/>
      <w:bCs/>
    </w:rPr>
  </w:style>
  <w:style w:type="character" w:styleId="Emphasis">
    <w:name w:val="Emphasis"/>
    <w:basedOn w:val="DefaultParagraphFont"/>
    <w:uiPriority w:val="20"/>
    <w:qFormat/>
    <w:rsid w:val="00373AD9"/>
    <w:rPr>
      <w:i/>
      <w:iCs/>
    </w:rPr>
  </w:style>
  <w:style w:type="paragraph" w:styleId="ListParagraph">
    <w:name w:val="List Paragraph"/>
    <w:basedOn w:val="Normal"/>
    <w:uiPriority w:val="34"/>
    <w:qFormat/>
    <w:rsid w:val="00373AD9"/>
    <w:pPr>
      <w:ind w:left="720"/>
      <w:contextualSpacing/>
    </w:pPr>
  </w:style>
  <w:style w:type="character" w:styleId="SubtleEmphasis">
    <w:name w:val="Subtle Emphasis"/>
    <w:basedOn w:val="DefaultParagraphFont"/>
    <w:uiPriority w:val="19"/>
    <w:qFormat/>
    <w:rsid w:val="00373AD9"/>
    <w:rPr>
      <w:i/>
      <w:iCs/>
      <w:color w:val="808080" w:themeColor="text1" w:themeTint="7F"/>
    </w:rPr>
  </w:style>
  <w:style w:type="character" w:styleId="IntenseEmphasis">
    <w:name w:val="Intense Emphasis"/>
    <w:basedOn w:val="DefaultParagraphFont"/>
    <w:uiPriority w:val="21"/>
    <w:qFormat/>
    <w:rsid w:val="00373AD9"/>
    <w:rPr>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3</Pages>
  <Words>448</Words>
  <Characters>2560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cp:revision>
  <dcterms:created xsi:type="dcterms:W3CDTF">2023-06-21T06:33:00Z</dcterms:created>
  <dcterms:modified xsi:type="dcterms:W3CDTF">2023-06-21T06:45:00Z</dcterms:modified>
</cp:coreProperties>
</file>