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rPr/>
      </w:pPr>
      <w:r>
        <w:rPr/>
      </w:r>
    </w:p>
    <w:p>
      <w:pPr>
        <w:pStyle w:val="Normal"/>
        <w:spacing w:before="0" w:after="80"/>
        <w:rPr/>
      </w:pPr>
      <w:r>
        <w:rPr/>
      </w:r>
    </w:p>
    <w:p>
      <w:pPr>
        <w:pStyle w:val="Normal"/>
        <w:spacing w:before="0" w:after="80"/>
        <w:rPr/>
      </w:pPr>
      <w:r>
        <w:rPr/>
      </w:r>
    </w:p>
    <w:p>
      <w:pPr>
        <w:pStyle w:val="Normal"/>
        <w:spacing w:before="0" w:after="40"/>
        <w:jc w:val="center"/>
        <w:rPr/>
      </w:pPr>
      <w:r>
        <w:rPr>
          <w:rFonts w:eastAsia="Arial" w:cs="Arial"/>
          <w:b/>
          <w:bCs/>
          <w:caps/>
          <w:color w:val="1E3A5F"/>
          <w:spacing w:val="80"/>
          <w:sz w:val="28"/>
          <w:szCs w:val="28"/>
        </w:rPr>
        <w:t>IIEST SHIBPUR</w:t>
      </w:r>
    </w:p>
    <w:p>
      <w:pPr>
        <w:pStyle w:val="Normal"/>
        <w:spacing w:before="0" w:after="40"/>
        <w:jc w:val="center"/>
        <w:rPr/>
      </w:pPr>
      <w:r>
        <w:rPr>
          <w:rFonts w:eastAsia="Arial" w:cs="Arial"/>
          <w:color w:val="555555"/>
          <w:sz w:val="24"/>
          <w:szCs w:val="24"/>
        </w:rPr>
        <w:t>Department of Computer Science and Technology</w:t>
      </w:r>
    </w:p>
    <w:p>
      <w:pPr>
        <w:pStyle w:val="Normal"/>
        <w:spacing w:before="0" w:after="280"/>
        <w:jc w:val="center"/>
        <w:rPr/>
      </w:pPr>
      <w:r>
        <w:rPr>
          <w:rFonts w:eastAsia="Arial" w:cs="Arial"/>
          <w:color w:val="555555"/>
          <w:sz w:val="22"/>
          <w:szCs w:val="22"/>
        </w:rPr>
        <w:t>B.Tech Major Project — 2026</w:t>
      </w:r>
    </w:p>
    <w:p>
      <w:pPr>
        <w:pStyle w:val="Normal"/>
        <w:pBdr>
          <w:bottom w:val="single" w:sz="6" w:space="1" w:color="1E3A5F"/>
        </w:pBdr>
        <w:spacing w:before="0" w:after="120"/>
        <w:rPr/>
      </w:pPr>
      <w:r>
        <w:rPr/>
      </w:r>
    </w:p>
    <w:p>
      <w:pPr>
        <w:pStyle w:val="Normal"/>
        <w:spacing w:before="0" w:after="80"/>
        <w:rPr/>
      </w:pPr>
      <w:r>
        <w:rPr/>
      </w:r>
    </w:p>
    <w:p>
      <w:pPr>
        <w:pStyle w:val="Normal"/>
        <w:spacing w:before="0" w:after="80"/>
        <w:jc w:val="center"/>
        <w:rPr/>
      </w:pPr>
      <w:r>
        <w:rPr>
          <w:rFonts w:eastAsia="Arial" w:cs="Arial"/>
          <w:b/>
          <w:bCs/>
          <w:color w:val="1E3A5F"/>
          <w:sz w:val="52"/>
          <w:szCs w:val="52"/>
        </w:rPr>
        <w:t>Biological Sequence Motif Discovery</w:t>
      </w:r>
    </w:p>
    <w:p>
      <w:pPr>
        <w:pStyle w:val="Normal"/>
        <w:spacing w:before="0" w:after="60"/>
        <w:jc w:val="center"/>
        <w:rPr/>
      </w:pPr>
      <w:r>
        <w:rPr>
          <w:rFonts w:eastAsia="Arial" w:cs="Arial"/>
          <w:color w:val="0D6E8A"/>
          <w:sz w:val="28"/>
          <w:szCs w:val="28"/>
        </w:rPr>
        <w:t>Algorithms, Real Datasets &amp; Experimental Results</w:t>
      </w:r>
    </w:p>
    <w:p>
      <w:pPr>
        <w:pStyle w:val="Normal"/>
        <w:spacing w:before="0" w:after="80"/>
        <w:rPr/>
      </w:pPr>
      <w:r>
        <w:rPr/>
      </w:r>
    </w:p>
    <w:p>
      <w:pPr>
        <w:pStyle w:val="Normal"/>
        <w:pBdr>
          <w:bottom w:val="single" w:sz="6" w:space="1" w:color="1E3A5F"/>
        </w:pBdr>
        <w:spacing w:before="0" w:after="120"/>
        <w:rPr/>
      </w:pPr>
      <w:r>
        <w:rPr/>
      </w:r>
    </w:p>
    <w:p>
      <w:pPr>
        <w:pStyle w:val="Normal"/>
        <w:spacing w:before="0" w:after="80"/>
        <w:rPr/>
      </w:pPr>
      <w:r>
        <w:rPr/>
      </w:r>
    </w:p>
    <w:p>
      <w:pPr>
        <w:pStyle w:val="Normal"/>
        <w:spacing w:before="0" w:after="80"/>
        <w:rPr/>
      </w:pPr>
      <w:r>
        <w:rPr/>
      </w:r>
    </w:p>
    <w:p>
      <w:pPr>
        <w:pStyle w:val="Normal"/>
        <w:spacing w:before="0" w:after="60"/>
        <w:jc w:val="center"/>
        <w:rPr/>
      </w:pPr>
      <w:r>
        <w:rPr>
          <w:rFonts w:eastAsia="Arial" w:cs="Arial"/>
          <w:color w:val="555555"/>
          <w:sz w:val="22"/>
          <w:szCs w:val="22"/>
        </w:rPr>
        <w:t>Presented by</w:t>
      </w:r>
    </w:p>
    <w:p>
      <w:pPr>
        <w:pStyle w:val="Normal"/>
        <w:spacing w:before="0" w:after="40"/>
        <w:jc w:val="center"/>
        <w:rPr/>
      </w:pPr>
      <w:r>
        <w:rPr>
          <w:rFonts w:eastAsia="Arial" w:cs="Arial"/>
          <w:b/>
          <w:bCs/>
          <w:color w:val="1E3A5F"/>
          <w:sz w:val="28"/>
          <w:szCs w:val="28"/>
        </w:rPr>
        <w:t>Ramesh Chandra Soren  (2022CSB086)</w:t>
      </w:r>
    </w:p>
    <w:p>
      <w:pPr>
        <w:pStyle w:val="Normal"/>
        <w:spacing w:before="0" w:after="40"/>
        <w:jc w:val="center"/>
        <w:rPr/>
      </w:pPr>
      <w:r>
        <w:rPr>
          <w:rFonts w:eastAsia="Arial" w:cs="Arial"/>
          <w:b/>
          <w:bCs/>
          <w:color w:val="1E3A5F"/>
          <w:sz w:val="28"/>
          <w:szCs w:val="28"/>
        </w:rPr>
        <w:t>Souvik Majee  (2022CSB028)</w:t>
      </w:r>
    </w:p>
    <w:p>
      <w:pPr>
        <w:pStyle w:val="Normal"/>
        <w:spacing w:before="0" w:after="80"/>
        <w:rPr/>
      </w:pPr>
      <w:r>
        <w:rPr/>
      </w:r>
    </w:p>
    <w:p>
      <w:pPr>
        <w:pStyle w:val="Normal"/>
        <w:spacing w:before="0" w:after="40"/>
        <w:jc w:val="center"/>
        <w:rPr/>
      </w:pPr>
      <w:r>
        <w:rPr>
          <w:rFonts w:eastAsia="Arial" w:cs="Arial"/>
          <w:color w:val="555555"/>
          <w:sz w:val="22"/>
          <w:szCs w:val="22"/>
        </w:rPr>
        <w:t>Under the Supervision of</w:t>
      </w:r>
    </w:p>
    <w:p>
      <w:pPr>
        <w:pStyle w:val="Normal"/>
        <w:spacing w:before="0" w:after="40"/>
        <w:jc w:val="center"/>
        <w:rPr/>
      </w:pPr>
      <w:r>
        <w:rPr>
          <w:rFonts w:eastAsia="Arial" w:cs="Arial"/>
          <w:b/>
          <w:bCs/>
          <w:color w:val="1E3A5F"/>
          <w:sz w:val="26"/>
          <w:szCs w:val="26"/>
        </w:rPr>
        <w:t>Dr. Surajeet Ghosh</w:t>
      </w:r>
    </w:p>
    <w:p>
      <w:pPr>
        <w:pStyle w:val="Normal"/>
        <w:spacing w:before="0" w:after="280"/>
        <w:jc w:val="center"/>
        <w:rPr/>
      </w:pPr>
      <w:r>
        <w:rPr>
          <w:rFonts w:eastAsia="Arial" w:cs="Arial"/>
          <w:color w:val="555555"/>
          <w:sz w:val="22"/>
          <w:szCs w:val="22"/>
        </w:rPr>
        <w:t>Associate Professor, Dept. Computer Science &amp; Technology</w:t>
      </w:r>
    </w:p>
    <w:p>
      <w:pPr>
        <w:pStyle w:val="Normal"/>
        <w:pBdr>
          <w:bottom w:val="single" w:sz="6" w:space="1" w:color="1E3A5F"/>
        </w:pBdr>
        <w:spacing w:before="0" w:after="120"/>
        <w:rPr/>
      </w:pPr>
      <w:r>
        <w:rPr/>
      </w:r>
    </w:p>
    <w:p>
      <w:pPr>
        <w:sectPr>
          <w:type w:val="nextPage"/>
          <w:pgSz w:w="12240" w:h="15840"/>
          <w:pgMar w:left="1440" w:right="1440" w:gutter="0" w:header="0" w:top="1440" w:footer="0" w:bottom="1440"/>
          <w:pgNumType w:fmt="decimal"/>
          <w:formProt w:val="false"/>
          <w:textDirection w:val="lrTb"/>
          <w:docGrid w:type="default" w:linePitch="360" w:charSpace="0"/>
        </w:sectPr>
        <w:pStyle w:val="Normal"/>
        <w:spacing w:before="0" w:after="40"/>
        <w:jc w:val="center"/>
        <w:rPr>
          <w:rFonts w:eastAsia="Arial" w:cs="Arial"/>
          <w:color w:val="555555"/>
          <w:sz w:val="22"/>
          <w:szCs w:val="22"/>
        </w:rPr>
      </w:pPr>
      <w:r>
        <w:rPr/>
      </w:r>
    </w:p>
    <w:p>
      <w:pPr>
        <w:pStyle w:val="Heading1"/>
        <w:spacing w:before="0" w:after="240"/>
        <w:rPr/>
      </w:pPr>
      <w:r>
        <w:rPr>
          <w:b/>
          <w:bCs/>
        </w:rPr>
        <w:t>Table of Contents</w:t>
      </w:r>
    </w:p>
    <w:p>
      <w:pPr>
        <w:pStyle w:val="Normal"/>
        <w:spacing w:before="0" w:after="80"/>
        <w:rPr/>
      </w:pPr>
      <w:r>
        <w:rPr>
          <w:rFonts w:eastAsia="Arial" w:cs="Arial"/>
          <w:b/>
          <w:bCs/>
          <w:color w:val="1E3A5F"/>
          <w:sz w:val="22"/>
          <w:szCs w:val="22"/>
        </w:rPr>
        <w:t>Chapter 1: Introduction</w:t>
      </w:r>
      <w:r>
        <w:rPr>
          <w:rFonts w:eastAsia="Arial" w:cs="Arial"/>
          <w:color w:val="555555"/>
          <w:sz w:val="20"/>
          <w:szCs w:val="20"/>
        </w:rPr>
        <w:t xml:space="preserve"> .......... 1</w:t>
      </w:r>
    </w:p>
    <w:p>
      <w:pPr>
        <w:pStyle w:val="Normal"/>
        <w:spacing w:before="0" w:after="40"/>
        <w:rPr/>
      </w:pPr>
      <w:r>
        <w:rPr>
          <w:rFonts w:eastAsia="Arial" w:cs="Arial"/>
          <w:b w:val="false"/>
          <w:bCs w:val="false"/>
          <w:color w:val="1A1A1A"/>
          <w:sz w:val="20"/>
          <w:szCs w:val="20"/>
        </w:rPr>
        <w:t xml:space="preserve">    </w:t>
      </w:r>
      <w:r>
        <w:rPr>
          <w:rFonts w:eastAsia="Arial" w:cs="Arial"/>
          <w:b w:val="false"/>
          <w:bCs w:val="false"/>
          <w:color w:val="1A1A1A"/>
          <w:sz w:val="20"/>
          <w:szCs w:val="20"/>
        </w:rPr>
        <w:t>1.1  Background and Motivation</w:t>
      </w:r>
      <w:r>
        <w:rPr>
          <w:rFonts w:eastAsia="Arial" w:cs="Arial"/>
          <w:color w:val="555555"/>
          <w:sz w:val="20"/>
          <w:szCs w:val="20"/>
        </w:rPr>
        <w:t xml:space="preserve"> .......... 1</w:t>
      </w:r>
    </w:p>
    <w:p>
      <w:pPr>
        <w:pStyle w:val="Normal"/>
        <w:spacing w:before="0" w:after="40"/>
        <w:rPr/>
      </w:pPr>
      <w:r>
        <w:rPr>
          <w:rFonts w:eastAsia="Arial" w:cs="Arial"/>
          <w:b w:val="false"/>
          <w:bCs w:val="false"/>
          <w:color w:val="1A1A1A"/>
          <w:sz w:val="20"/>
          <w:szCs w:val="20"/>
        </w:rPr>
        <w:t xml:space="preserve">    </w:t>
      </w:r>
      <w:r>
        <w:rPr>
          <w:rFonts w:eastAsia="Arial" w:cs="Arial"/>
          <w:b w:val="false"/>
          <w:bCs w:val="false"/>
          <w:color w:val="1A1A1A"/>
          <w:sz w:val="20"/>
          <w:szCs w:val="20"/>
        </w:rPr>
        <w:t>1.2  Problem Statement</w:t>
      </w:r>
      <w:r>
        <w:rPr>
          <w:rFonts w:eastAsia="Arial" w:cs="Arial"/>
          <w:color w:val="555555"/>
          <w:sz w:val="20"/>
          <w:szCs w:val="20"/>
        </w:rPr>
        <w:t xml:space="preserve"> .......... 1</w:t>
      </w:r>
    </w:p>
    <w:p>
      <w:pPr>
        <w:pStyle w:val="Normal"/>
        <w:spacing w:before="0" w:after="40"/>
        <w:rPr/>
      </w:pPr>
      <w:r>
        <w:rPr>
          <w:rFonts w:eastAsia="Arial" w:cs="Arial"/>
          <w:b w:val="false"/>
          <w:bCs w:val="false"/>
          <w:color w:val="1A1A1A"/>
          <w:sz w:val="20"/>
          <w:szCs w:val="20"/>
        </w:rPr>
        <w:t xml:space="preserve">    </w:t>
      </w:r>
      <w:r>
        <w:rPr>
          <w:rFonts w:eastAsia="Arial" w:cs="Arial"/>
          <w:b w:val="false"/>
          <w:bCs w:val="false"/>
          <w:color w:val="1A1A1A"/>
          <w:sz w:val="20"/>
          <w:szCs w:val="20"/>
        </w:rPr>
        <w:t>1.3  Objectives</w:t>
      </w:r>
      <w:r>
        <w:rPr>
          <w:rFonts w:eastAsia="Arial" w:cs="Arial"/>
          <w:color w:val="555555"/>
          <w:sz w:val="20"/>
          <w:szCs w:val="20"/>
        </w:rPr>
        <w:t xml:space="preserve"> .......... 1</w:t>
      </w:r>
    </w:p>
    <w:p>
      <w:pPr>
        <w:pStyle w:val="Normal"/>
        <w:spacing w:before="0" w:after="40"/>
        <w:rPr/>
      </w:pPr>
      <w:r>
        <w:rPr>
          <w:rFonts w:eastAsia="Arial" w:cs="Arial"/>
          <w:b w:val="false"/>
          <w:bCs w:val="false"/>
          <w:color w:val="1A1A1A"/>
          <w:sz w:val="20"/>
          <w:szCs w:val="20"/>
        </w:rPr>
        <w:t xml:space="preserve">    </w:t>
      </w:r>
      <w:r>
        <w:rPr>
          <w:rFonts w:eastAsia="Arial" w:cs="Arial"/>
          <w:b w:val="false"/>
          <w:bCs w:val="false"/>
          <w:color w:val="1A1A1A"/>
          <w:sz w:val="20"/>
          <w:szCs w:val="20"/>
        </w:rPr>
        <w:t>1.4  Scope</w:t>
      </w:r>
      <w:r>
        <w:rPr>
          <w:rFonts w:eastAsia="Arial" w:cs="Arial"/>
          <w:color w:val="555555"/>
          <w:sz w:val="20"/>
          <w:szCs w:val="20"/>
        </w:rPr>
        <w:t xml:space="preserve"> .......... 2</w:t>
      </w:r>
    </w:p>
    <w:p>
      <w:pPr>
        <w:pStyle w:val="Normal"/>
        <w:spacing w:before="0" w:after="40"/>
        <w:rPr/>
      </w:pPr>
      <w:r>
        <w:rPr>
          <w:rFonts w:eastAsia="Arial" w:cs="Arial"/>
          <w:b w:val="false"/>
          <w:bCs w:val="false"/>
          <w:color w:val="1A1A1A"/>
          <w:sz w:val="20"/>
          <w:szCs w:val="20"/>
        </w:rPr>
        <w:t xml:space="preserve">    </w:t>
      </w:r>
      <w:r>
        <w:rPr>
          <w:rFonts w:eastAsia="Arial" w:cs="Arial"/>
          <w:b w:val="false"/>
          <w:bCs w:val="false"/>
          <w:color w:val="1A1A1A"/>
          <w:sz w:val="20"/>
          <w:szCs w:val="20"/>
        </w:rPr>
        <w:t>1.5  Organisation</w:t>
      </w:r>
      <w:r>
        <w:rPr>
          <w:rFonts w:eastAsia="Arial" w:cs="Arial"/>
          <w:color w:val="555555"/>
          <w:sz w:val="20"/>
          <w:szCs w:val="20"/>
        </w:rPr>
        <w:t xml:space="preserve"> .......... 2</w:t>
      </w:r>
    </w:p>
    <w:p>
      <w:pPr>
        <w:pStyle w:val="Normal"/>
        <w:spacing w:before="0" w:after="80"/>
        <w:rPr/>
      </w:pPr>
      <w:r>
        <w:rPr>
          <w:rFonts w:eastAsia="Arial" w:cs="Arial"/>
          <w:b/>
          <w:bCs/>
          <w:color w:val="1E3A5F"/>
          <w:sz w:val="22"/>
          <w:szCs w:val="22"/>
        </w:rPr>
        <w:t>Chapter 2: Theoretical Background</w:t>
      </w:r>
      <w:r>
        <w:rPr>
          <w:rFonts w:eastAsia="Arial" w:cs="Arial"/>
          <w:color w:val="555555"/>
          <w:sz w:val="20"/>
          <w:szCs w:val="20"/>
        </w:rPr>
        <w:t xml:space="preserve"> .......... 2</w:t>
      </w:r>
    </w:p>
    <w:p>
      <w:pPr>
        <w:pStyle w:val="Normal"/>
        <w:spacing w:before="0" w:after="40"/>
        <w:rPr/>
      </w:pPr>
      <w:r>
        <w:rPr>
          <w:rFonts w:eastAsia="Arial" w:cs="Arial"/>
          <w:b w:val="false"/>
          <w:bCs w:val="false"/>
          <w:color w:val="1A1A1A"/>
          <w:sz w:val="20"/>
          <w:szCs w:val="20"/>
        </w:rPr>
        <w:t xml:space="preserve">    </w:t>
      </w:r>
      <w:r>
        <w:rPr>
          <w:rFonts w:eastAsia="Arial" w:cs="Arial"/>
          <w:b w:val="false"/>
          <w:bCs w:val="false"/>
          <w:color w:val="1A1A1A"/>
          <w:sz w:val="20"/>
          <w:szCs w:val="20"/>
        </w:rPr>
        <w:t>2.1  Biological Motifs — Types</w:t>
      </w:r>
      <w:r>
        <w:rPr>
          <w:rFonts w:eastAsia="Arial" w:cs="Arial"/>
          <w:color w:val="555555"/>
          <w:sz w:val="20"/>
          <w:szCs w:val="20"/>
        </w:rPr>
        <w:t xml:space="preserve"> .......... 2</w:t>
      </w:r>
    </w:p>
    <w:p>
      <w:pPr>
        <w:pStyle w:val="Normal"/>
        <w:spacing w:before="0" w:after="40"/>
        <w:rPr/>
      </w:pPr>
      <w:r>
        <w:rPr>
          <w:rFonts w:eastAsia="Arial" w:cs="Arial"/>
          <w:b w:val="false"/>
          <w:bCs w:val="false"/>
          <w:color w:val="1A1A1A"/>
          <w:sz w:val="20"/>
          <w:szCs w:val="20"/>
        </w:rPr>
        <w:t xml:space="preserve">    </w:t>
      </w:r>
      <w:r>
        <w:rPr>
          <w:rFonts w:eastAsia="Arial" w:cs="Arial"/>
          <w:b w:val="false"/>
          <w:bCs w:val="false"/>
          <w:color w:val="1A1A1A"/>
          <w:sz w:val="20"/>
          <w:szCs w:val="20"/>
        </w:rPr>
        <w:t>2.2  Motif Representation (Consensus, PWM, Sequence Logo)</w:t>
      </w:r>
      <w:r>
        <w:rPr>
          <w:rFonts w:eastAsia="Arial" w:cs="Arial"/>
          <w:color w:val="555555"/>
          <w:sz w:val="20"/>
          <w:szCs w:val="20"/>
        </w:rPr>
        <w:t xml:space="preserve"> .......... 3</w:t>
      </w:r>
    </w:p>
    <w:p>
      <w:pPr>
        <w:pStyle w:val="Normal"/>
        <w:spacing w:before="0" w:after="40"/>
        <w:rPr/>
      </w:pPr>
      <w:r>
        <w:rPr>
          <w:rFonts w:eastAsia="Arial" w:cs="Arial"/>
          <w:b w:val="false"/>
          <w:bCs w:val="false"/>
          <w:color w:val="1A1A1A"/>
          <w:sz w:val="20"/>
          <w:szCs w:val="20"/>
        </w:rPr>
        <w:t xml:space="preserve">    </w:t>
      </w:r>
      <w:r>
        <w:rPr>
          <w:rFonts w:eastAsia="Arial" w:cs="Arial"/>
          <w:b w:val="false"/>
          <w:bCs w:val="false"/>
          <w:color w:val="1A1A1A"/>
          <w:sz w:val="20"/>
          <w:szCs w:val="20"/>
        </w:rPr>
        <w:t>2.3  The Motif Discovery Problem — Formal Definition</w:t>
      </w:r>
      <w:r>
        <w:rPr>
          <w:rFonts w:eastAsia="Arial" w:cs="Arial"/>
          <w:color w:val="555555"/>
          <w:sz w:val="20"/>
          <w:szCs w:val="20"/>
        </w:rPr>
        <w:t xml:space="preserve"> .......... 4</w:t>
      </w:r>
    </w:p>
    <w:p>
      <w:pPr>
        <w:pStyle w:val="Normal"/>
        <w:spacing w:before="0" w:after="40"/>
        <w:rPr/>
      </w:pPr>
      <w:r>
        <w:rPr>
          <w:rFonts w:eastAsia="Arial" w:cs="Arial"/>
          <w:b w:val="false"/>
          <w:bCs w:val="false"/>
          <w:color w:val="1A1A1A"/>
          <w:sz w:val="20"/>
          <w:szCs w:val="20"/>
        </w:rPr>
        <w:t xml:space="preserve">    </w:t>
      </w:r>
      <w:r>
        <w:rPr>
          <w:rFonts w:eastAsia="Arial" w:cs="Arial"/>
          <w:b w:val="false"/>
          <w:bCs w:val="false"/>
          <w:color w:val="1A1A1A"/>
          <w:sz w:val="20"/>
          <w:szCs w:val="20"/>
        </w:rPr>
        <w:t>2.4  MEME Algorithm (E-step, M-step, multi-motif)</w:t>
      </w:r>
      <w:r>
        <w:rPr>
          <w:rFonts w:eastAsia="Arial" w:cs="Arial"/>
          <w:color w:val="555555"/>
          <w:sz w:val="20"/>
          <w:szCs w:val="20"/>
        </w:rPr>
        <w:t xml:space="preserve"> .......... 4</w:t>
      </w:r>
    </w:p>
    <w:p>
      <w:pPr>
        <w:pStyle w:val="Normal"/>
        <w:spacing w:before="0" w:after="40"/>
        <w:rPr/>
      </w:pPr>
      <w:r>
        <w:rPr>
          <w:rFonts w:eastAsia="Arial" w:cs="Arial"/>
          <w:b w:val="false"/>
          <w:bCs w:val="false"/>
          <w:color w:val="1A1A1A"/>
          <w:sz w:val="20"/>
          <w:szCs w:val="20"/>
        </w:rPr>
        <w:t xml:space="preserve">    </w:t>
      </w:r>
      <w:r>
        <w:rPr>
          <w:rFonts w:eastAsia="Arial" w:cs="Arial"/>
          <w:b w:val="false"/>
          <w:bCs w:val="false"/>
          <w:color w:val="1A1A1A"/>
          <w:sz w:val="20"/>
          <w:szCs w:val="20"/>
        </w:rPr>
        <w:t>2.5  Gibbs Sampling Algorithm</w:t>
      </w:r>
      <w:r>
        <w:rPr>
          <w:rFonts w:eastAsia="Arial" w:cs="Arial"/>
          <w:color w:val="555555"/>
          <w:sz w:val="20"/>
          <w:szCs w:val="20"/>
        </w:rPr>
        <w:t xml:space="preserve"> .......... 6</w:t>
      </w:r>
    </w:p>
    <w:p>
      <w:pPr>
        <w:pStyle w:val="Normal"/>
        <w:spacing w:before="0" w:after="40"/>
        <w:rPr/>
      </w:pPr>
      <w:r>
        <w:rPr>
          <w:rFonts w:eastAsia="Arial" w:cs="Arial"/>
          <w:b w:val="false"/>
          <w:bCs w:val="false"/>
          <w:color w:val="1A1A1A"/>
          <w:sz w:val="20"/>
          <w:szCs w:val="20"/>
        </w:rPr>
        <w:t xml:space="preserve">    </w:t>
      </w:r>
      <w:r>
        <w:rPr>
          <w:rFonts w:eastAsia="Arial" w:cs="Arial"/>
          <w:b w:val="false"/>
          <w:bCs w:val="false"/>
          <w:color w:val="1A1A1A"/>
          <w:sz w:val="20"/>
          <w:szCs w:val="20"/>
        </w:rPr>
        <w:t>2.6  Evaluation Metrics</w:t>
      </w:r>
      <w:r>
        <w:rPr>
          <w:rFonts w:eastAsia="Arial" w:cs="Arial"/>
          <w:color w:val="555555"/>
          <w:sz w:val="20"/>
          <w:szCs w:val="20"/>
        </w:rPr>
        <w:t xml:space="preserve"> .......... 7</w:t>
      </w:r>
    </w:p>
    <w:p>
      <w:pPr>
        <w:pStyle w:val="Normal"/>
        <w:spacing w:before="0" w:after="80"/>
        <w:rPr/>
      </w:pPr>
      <w:r>
        <w:rPr>
          <w:rFonts w:eastAsia="Arial" w:cs="Arial"/>
          <w:b/>
          <w:bCs/>
          <w:color w:val="1E3A5F"/>
          <w:sz w:val="22"/>
          <w:szCs w:val="22"/>
        </w:rPr>
        <w:t>Chapter 3: Datasets</w:t>
      </w:r>
      <w:r>
        <w:rPr>
          <w:rFonts w:eastAsia="Arial" w:cs="Arial"/>
          <w:color w:val="555555"/>
          <w:sz w:val="20"/>
          <w:szCs w:val="20"/>
        </w:rPr>
        <w:t xml:space="preserve"> .......... 8</w:t>
      </w:r>
    </w:p>
    <w:p>
      <w:pPr>
        <w:pStyle w:val="Normal"/>
        <w:spacing w:before="0" w:after="40"/>
        <w:rPr/>
      </w:pPr>
      <w:r>
        <w:rPr>
          <w:rFonts w:eastAsia="Arial" w:cs="Arial"/>
          <w:b w:val="false"/>
          <w:bCs w:val="false"/>
          <w:color w:val="1A1A1A"/>
          <w:sz w:val="20"/>
          <w:szCs w:val="20"/>
        </w:rPr>
        <w:t xml:space="preserve">    </w:t>
      </w:r>
      <w:r>
        <w:rPr>
          <w:rFonts w:eastAsia="Arial" w:cs="Arial"/>
          <w:b w:val="false"/>
          <w:bCs w:val="false"/>
          <w:color w:val="1A1A1A"/>
          <w:sz w:val="20"/>
          <w:szCs w:val="20"/>
        </w:rPr>
        <w:t>3.1  Real Biological Datasets — JASPAR CORE (22 matrices)</w:t>
      </w:r>
      <w:r>
        <w:rPr>
          <w:rFonts w:eastAsia="Arial" w:cs="Arial"/>
          <w:color w:val="555555"/>
          <w:sz w:val="20"/>
          <w:szCs w:val="20"/>
        </w:rPr>
        <w:t xml:space="preserve"> .......... 8</w:t>
      </w:r>
    </w:p>
    <w:p>
      <w:pPr>
        <w:pStyle w:val="Normal"/>
        <w:spacing w:before="0" w:after="40"/>
        <w:rPr/>
      </w:pPr>
      <w:r>
        <w:rPr>
          <w:rFonts w:eastAsia="Arial" w:cs="Arial"/>
          <w:b w:val="false"/>
          <w:bCs w:val="false"/>
          <w:color w:val="1A1A1A"/>
          <w:sz w:val="20"/>
          <w:szCs w:val="20"/>
        </w:rPr>
        <w:t xml:space="preserve">    </w:t>
      </w:r>
      <w:r>
        <w:rPr>
          <w:rFonts w:eastAsia="Arial" w:cs="Arial"/>
          <w:b w:val="false"/>
          <w:bCs w:val="false"/>
          <w:color w:val="1A1A1A"/>
          <w:sz w:val="20"/>
          <w:szCs w:val="20"/>
        </w:rPr>
        <w:t>3.2  Synthetic Benchmark Datasets</w:t>
      </w:r>
      <w:r>
        <w:rPr>
          <w:rFonts w:eastAsia="Arial" w:cs="Arial"/>
          <w:color w:val="555555"/>
          <w:sz w:val="20"/>
          <w:szCs w:val="20"/>
        </w:rPr>
        <w:t xml:space="preserve"> .......... 9</w:t>
      </w:r>
    </w:p>
    <w:p>
      <w:pPr>
        <w:pStyle w:val="Normal"/>
        <w:spacing w:before="0" w:after="40"/>
        <w:rPr/>
      </w:pPr>
      <w:r>
        <w:rPr>
          <w:rFonts w:eastAsia="Arial" w:cs="Arial"/>
          <w:b w:val="false"/>
          <w:bCs w:val="false"/>
          <w:color w:val="1A1A1A"/>
          <w:sz w:val="20"/>
          <w:szCs w:val="20"/>
        </w:rPr>
        <w:t xml:space="preserve">    </w:t>
      </w:r>
      <w:r>
        <w:rPr>
          <w:rFonts w:eastAsia="Arial" w:cs="Arial"/>
          <w:b w:val="false"/>
          <w:bCs w:val="false"/>
          <w:color w:val="1A1A1A"/>
          <w:sz w:val="20"/>
          <w:szCs w:val="20"/>
        </w:rPr>
        <w:t>3.3  Dataset Groupings</w:t>
      </w:r>
      <w:r>
        <w:rPr>
          <w:rFonts w:eastAsia="Arial" w:cs="Arial"/>
          <w:color w:val="555555"/>
          <w:sz w:val="20"/>
          <w:szCs w:val="20"/>
        </w:rPr>
        <w:t xml:space="preserve"> .......... 9</w:t>
      </w:r>
    </w:p>
    <w:p>
      <w:pPr>
        <w:pStyle w:val="Normal"/>
        <w:spacing w:before="0" w:after="40"/>
        <w:rPr/>
      </w:pPr>
      <w:r>
        <w:rPr>
          <w:rFonts w:eastAsia="Arial" w:cs="Arial"/>
          <w:b w:val="false"/>
          <w:bCs w:val="false"/>
          <w:color w:val="1A1A1A"/>
          <w:sz w:val="20"/>
          <w:szCs w:val="20"/>
        </w:rPr>
        <w:t xml:space="preserve">    </w:t>
      </w:r>
      <w:r>
        <w:rPr>
          <w:rFonts w:eastAsia="Arial" w:cs="Arial"/>
          <w:b w:val="false"/>
          <w:bCs w:val="false"/>
          <w:color w:val="1A1A1A"/>
          <w:sz w:val="20"/>
          <w:szCs w:val="20"/>
        </w:rPr>
        <w:t>3.4  Data Preprocessing</w:t>
      </w:r>
      <w:r>
        <w:rPr>
          <w:rFonts w:eastAsia="Arial" w:cs="Arial"/>
          <w:color w:val="555555"/>
          <w:sz w:val="20"/>
          <w:szCs w:val="20"/>
        </w:rPr>
        <w:t xml:space="preserve"> .......... 9</w:t>
      </w:r>
    </w:p>
    <w:p>
      <w:pPr>
        <w:pStyle w:val="Normal"/>
        <w:spacing w:before="0" w:after="80"/>
        <w:rPr/>
      </w:pPr>
      <w:r>
        <w:rPr>
          <w:rFonts w:eastAsia="Arial" w:cs="Arial"/>
          <w:b/>
          <w:bCs/>
          <w:color w:val="1E3A5F"/>
          <w:sz w:val="22"/>
          <w:szCs w:val="22"/>
        </w:rPr>
        <w:t>Chapter 4: Implementation</w:t>
      </w:r>
      <w:r>
        <w:rPr>
          <w:rFonts w:eastAsia="Arial" w:cs="Arial"/>
          <w:color w:val="555555"/>
          <w:sz w:val="20"/>
          <w:szCs w:val="20"/>
        </w:rPr>
        <w:t xml:space="preserve"> .......... 10</w:t>
      </w:r>
    </w:p>
    <w:p>
      <w:pPr>
        <w:pStyle w:val="Normal"/>
        <w:spacing w:before="0" w:after="40"/>
        <w:rPr/>
      </w:pPr>
      <w:r>
        <w:rPr>
          <w:rFonts w:eastAsia="Arial" w:cs="Arial"/>
          <w:b w:val="false"/>
          <w:bCs w:val="false"/>
          <w:color w:val="1A1A1A"/>
          <w:sz w:val="20"/>
          <w:szCs w:val="20"/>
        </w:rPr>
        <w:t xml:space="preserve">    </w:t>
      </w:r>
      <w:r>
        <w:rPr>
          <w:rFonts w:eastAsia="Arial" w:cs="Arial"/>
          <w:b w:val="false"/>
          <w:bCs w:val="false"/>
          <w:color w:val="1A1A1A"/>
          <w:sz w:val="20"/>
          <w:szCs w:val="20"/>
        </w:rPr>
        <w:t>4.1  Software Architecture</w:t>
      </w:r>
      <w:r>
        <w:rPr>
          <w:rFonts w:eastAsia="Arial" w:cs="Arial"/>
          <w:color w:val="555555"/>
          <w:sz w:val="20"/>
          <w:szCs w:val="20"/>
        </w:rPr>
        <w:t xml:space="preserve"> .......... 10</w:t>
      </w:r>
    </w:p>
    <w:p>
      <w:pPr>
        <w:pStyle w:val="Normal"/>
        <w:spacing w:before="0" w:after="40"/>
        <w:rPr/>
      </w:pPr>
      <w:r>
        <w:rPr>
          <w:rFonts w:eastAsia="Arial" w:cs="Arial"/>
          <w:b w:val="false"/>
          <w:bCs w:val="false"/>
          <w:color w:val="1A1A1A"/>
          <w:sz w:val="20"/>
          <w:szCs w:val="20"/>
        </w:rPr>
        <w:t xml:space="preserve">    </w:t>
      </w:r>
      <w:r>
        <w:rPr>
          <w:rFonts w:eastAsia="Arial" w:cs="Arial"/>
          <w:b w:val="false"/>
          <w:bCs w:val="false"/>
          <w:color w:val="1A1A1A"/>
          <w:sz w:val="20"/>
          <w:szCs w:val="20"/>
        </w:rPr>
        <w:t>4.2  Position Weight Matrix (pwm.py)</w:t>
      </w:r>
      <w:r>
        <w:rPr>
          <w:rFonts w:eastAsia="Arial" w:cs="Arial"/>
          <w:color w:val="555555"/>
          <w:sz w:val="20"/>
          <w:szCs w:val="20"/>
        </w:rPr>
        <w:t xml:space="preserve"> .......... 11</w:t>
      </w:r>
    </w:p>
    <w:p>
      <w:pPr>
        <w:pStyle w:val="Normal"/>
        <w:spacing w:before="0" w:after="40"/>
        <w:rPr/>
      </w:pPr>
      <w:r>
        <w:rPr>
          <w:rFonts w:eastAsia="Arial" w:cs="Arial"/>
          <w:b w:val="false"/>
          <w:bCs w:val="false"/>
          <w:color w:val="1A1A1A"/>
          <w:sz w:val="20"/>
          <w:szCs w:val="20"/>
        </w:rPr>
        <w:t xml:space="preserve">    </w:t>
      </w:r>
      <w:r>
        <w:rPr>
          <w:rFonts w:eastAsia="Arial" w:cs="Arial"/>
          <w:b w:val="false"/>
          <w:bCs w:val="false"/>
          <w:color w:val="1A1A1A"/>
          <w:sz w:val="20"/>
          <w:szCs w:val="20"/>
        </w:rPr>
        <w:t>4.3  MEME Algorithm (meme_algorithm.py)</w:t>
      </w:r>
      <w:r>
        <w:rPr>
          <w:rFonts w:eastAsia="Arial" w:cs="Arial"/>
          <w:color w:val="555555"/>
          <w:sz w:val="20"/>
          <w:szCs w:val="20"/>
        </w:rPr>
        <w:t xml:space="preserve"> .......... 11</w:t>
      </w:r>
    </w:p>
    <w:p>
      <w:pPr>
        <w:pStyle w:val="Normal"/>
        <w:spacing w:before="0" w:after="40"/>
        <w:rPr/>
      </w:pPr>
      <w:r>
        <w:rPr>
          <w:rFonts w:eastAsia="Arial" w:cs="Arial"/>
          <w:b w:val="false"/>
          <w:bCs w:val="false"/>
          <w:color w:val="1A1A1A"/>
          <w:sz w:val="20"/>
          <w:szCs w:val="20"/>
        </w:rPr>
        <w:t xml:space="preserve">    </w:t>
      </w:r>
      <w:r>
        <w:rPr>
          <w:rFonts w:eastAsia="Arial" w:cs="Arial"/>
          <w:b w:val="false"/>
          <w:bCs w:val="false"/>
          <w:color w:val="1A1A1A"/>
          <w:sz w:val="20"/>
          <w:szCs w:val="20"/>
        </w:rPr>
        <w:t>4.4  Gibbs Sampling (gibbs_sampling.py)</w:t>
      </w:r>
      <w:r>
        <w:rPr>
          <w:rFonts w:eastAsia="Arial" w:cs="Arial"/>
          <w:color w:val="555555"/>
          <w:sz w:val="20"/>
          <w:szCs w:val="20"/>
        </w:rPr>
        <w:t xml:space="preserve"> .......... 12</w:t>
      </w:r>
    </w:p>
    <w:p>
      <w:pPr>
        <w:pStyle w:val="Normal"/>
        <w:spacing w:before="0" w:after="40"/>
        <w:rPr/>
      </w:pPr>
      <w:r>
        <w:rPr>
          <w:rFonts w:eastAsia="Arial" w:cs="Arial"/>
          <w:b w:val="false"/>
          <w:bCs w:val="false"/>
          <w:color w:val="1A1A1A"/>
          <w:sz w:val="20"/>
          <w:szCs w:val="20"/>
        </w:rPr>
        <w:t xml:space="preserve">    </w:t>
      </w:r>
      <w:r>
        <w:rPr>
          <w:rFonts w:eastAsia="Arial" w:cs="Arial"/>
          <w:b w:val="false"/>
          <w:bCs w:val="false"/>
          <w:color w:val="1A1A1A"/>
          <w:sz w:val="20"/>
          <w:szCs w:val="20"/>
        </w:rPr>
        <w:t>4.5  Visualisation (visualize.py)</w:t>
      </w:r>
      <w:r>
        <w:rPr>
          <w:rFonts w:eastAsia="Arial" w:cs="Arial"/>
          <w:color w:val="555555"/>
          <w:sz w:val="20"/>
          <w:szCs w:val="20"/>
        </w:rPr>
        <w:t xml:space="preserve"> .......... 13</w:t>
      </w:r>
    </w:p>
    <w:p>
      <w:pPr>
        <w:pStyle w:val="Normal"/>
        <w:spacing w:before="0" w:after="40"/>
        <w:rPr/>
      </w:pPr>
      <w:r>
        <w:rPr>
          <w:rFonts w:eastAsia="Arial" w:cs="Arial"/>
          <w:b w:val="false"/>
          <w:bCs w:val="false"/>
          <w:color w:val="1A1A1A"/>
          <w:sz w:val="20"/>
          <w:szCs w:val="20"/>
        </w:rPr>
        <w:t xml:space="preserve">    </w:t>
      </w:r>
      <w:r>
        <w:rPr>
          <w:rFonts w:eastAsia="Arial" w:cs="Arial"/>
          <w:b w:val="false"/>
          <w:bCs w:val="false"/>
          <w:color w:val="1A1A1A"/>
          <w:sz w:val="20"/>
          <w:szCs w:val="20"/>
        </w:rPr>
        <w:t>4.6  Data Acquisition (fetch_real_data.py)</w:t>
      </w:r>
      <w:r>
        <w:rPr>
          <w:rFonts w:eastAsia="Arial" w:cs="Arial"/>
          <w:color w:val="555555"/>
          <w:sz w:val="20"/>
          <w:szCs w:val="20"/>
        </w:rPr>
        <w:t xml:space="preserve"> .......... 13</w:t>
      </w:r>
    </w:p>
    <w:p>
      <w:pPr>
        <w:pStyle w:val="Normal"/>
        <w:spacing w:before="0" w:after="80"/>
        <w:rPr/>
      </w:pPr>
      <w:r>
        <w:rPr>
          <w:rFonts w:eastAsia="Arial" w:cs="Arial"/>
          <w:b/>
          <w:bCs/>
          <w:color w:val="1E3A5F"/>
          <w:sz w:val="22"/>
          <w:szCs w:val="22"/>
        </w:rPr>
        <w:t>Chapter 5: Results and Analysis</w:t>
      </w:r>
      <w:r>
        <w:rPr>
          <w:rFonts w:eastAsia="Arial" w:cs="Arial"/>
          <w:color w:val="555555"/>
          <w:sz w:val="20"/>
          <w:szCs w:val="20"/>
        </w:rPr>
        <w:t xml:space="preserve"> .......... 14</w:t>
      </w:r>
    </w:p>
    <w:p>
      <w:pPr>
        <w:pStyle w:val="Normal"/>
        <w:spacing w:before="0" w:after="40"/>
        <w:rPr/>
      </w:pPr>
      <w:r>
        <w:rPr>
          <w:rFonts w:eastAsia="Arial" w:cs="Arial"/>
          <w:b w:val="false"/>
          <w:bCs w:val="false"/>
          <w:color w:val="1A1A1A"/>
          <w:sz w:val="20"/>
          <w:szCs w:val="20"/>
        </w:rPr>
        <w:t xml:space="preserve">    </w:t>
      </w:r>
      <w:r>
        <w:rPr>
          <w:rFonts w:eastAsia="Arial" w:cs="Arial"/>
          <w:b w:val="false"/>
          <w:bCs w:val="false"/>
          <w:color w:val="1A1A1A"/>
          <w:sz w:val="20"/>
          <w:szCs w:val="20"/>
        </w:rPr>
        <w:t>5.1  Summary of Results</w:t>
      </w:r>
      <w:r>
        <w:rPr>
          <w:rFonts w:eastAsia="Arial" w:cs="Arial"/>
          <w:color w:val="555555"/>
          <w:sz w:val="20"/>
          <w:szCs w:val="20"/>
        </w:rPr>
        <w:t xml:space="preserve"> .......... 14</w:t>
      </w:r>
    </w:p>
    <w:p>
      <w:pPr>
        <w:pStyle w:val="Normal"/>
        <w:spacing w:before="0" w:after="40"/>
        <w:rPr/>
      </w:pPr>
      <w:r>
        <w:rPr>
          <w:rFonts w:eastAsia="Arial" w:cs="Arial"/>
          <w:b w:val="false"/>
          <w:bCs w:val="false"/>
          <w:color w:val="1A1A1A"/>
          <w:sz w:val="20"/>
          <w:szCs w:val="20"/>
        </w:rPr>
        <w:t xml:space="preserve">    </w:t>
      </w:r>
      <w:r>
        <w:rPr>
          <w:rFonts w:eastAsia="Arial" w:cs="Arial"/>
          <w:b w:val="false"/>
          <w:bCs w:val="false"/>
          <w:color w:val="1A1A1A"/>
          <w:sz w:val="20"/>
          <w:szCs w:val="20"/>
        </w:rPr>
        <w:t>5.2  Plant bZIP G-box: Strongest Result (E = 10⁻³⁰⁰)</w:t>
      </w:r>
      <w:r>
        <w:rPr>
          <w:rFonts w:eastAsia="Arial" w:cs="Arial"/>
          <w:color w:val="555555"/>
          <w:sz w:val="20"/>
          <w:szCs w:val="20"/>
        </w:rPr>
        <w:t xml:space="preserve"> .......... 15</w:t>
      </w:r>
    </w:p>
    <w:p>
      <w:pPr>
        <w:pStyle w:val="Normal"/>
        <w:spacing w:before="0" w:after="40"/>
        <w:rPr/>
      </w:pPr>
      <w:r>
        <w:rPr>
          <w:rFonts w:eastAsia="Arial" w:cs="Arial"/>
          <w:b w:val="false"/>
          <w:bCs w:val="false"/>
          <w:color w:val="1A1A1A"/>
          <w:sz w:val="20"/>
          <w:szCs w:val="20"/>
        </w:rPr>
        <w:t xml:space="preserve">    </w:t>
      </w:r>
      <w:r>
        <w:rPr>
          <w:rFonts w:eastAsia="Arial" w:cs="Arial"/>
          <w:b w:val="false"/>
          <w:bCs w:val="false"/>
          <w:color w:val="1A1A1A"/>
          <w:sz w:val="20"/>
          <w:szCs w:val="20"/>
        </w:rPr>
        <w:t>5.3  Human Transcription Factors (CTCF, E2F1, HOXA10)</w:t>
      </w:r>
      <w:r>
        <w:rPr>
          <w:rFonts w:eastAsia="Arial" w:cs="Arial"/>
          <w:color w:val="555555"/>
          <w:sz w:val="20"/>
          <w:szCs w:val="20"/>
        </w:rPr>
        <w:t xml:space="preserve"> .......... 15</w:t>
      </w:r>
    </w:p>
    <w:p>
      <w:pPr>
        <w:pStyle w:val="Normal"/>
        <w:spacing w:before="0" w:after="40"/>
        <w:rPr/>
      </w:pPr>
      <w:r>
        <w:rPr>
          <w:rFonts w:eastAsia="Arial" w:cs="Arial"/>
          <w:b w:val="false"/>
          <w:bCs w:val="false"/>
          <w:color w:val="1A1A1A"/>
          <w:sz w:val="20"/>
          <w:szCs w:val="20"/>
        </w:rPr>
        <w:t xml:space="preserve">    </w:t>
      </w:r>
      <w:r>
        <w:rPr>
          <w:rFonts w:eastAsia="Arial" w:cs="Arial"/>
          <w:b w:val="false"/>
          <w:bCs w:val="false"/>
          <w:color w:val="1A1A1A"/>
          <w:sz w:val="20"/>
          <w:szCs w:val="20"/>
        </w:rPr>
        <w:t>5.4  Yeast Transcription Factors</w:t>
      </w:r>
      <w:r>
        <w:rPr>
          <w:rFonts w:eastAsia="Arial" w:cs="Arial"/>
          <w:color w:val="555555"/>
          <w:sz w:val="20"/>
          <w:szCs w:val="20"/>
        </w:rPr>
        <w:t xml:space="preserve"> .......... 16</w:t>
      </w:r>
    </w:p>
    <w:p>
      <w:pPr>
        <w:pStyle w:val="Normal"/>
        <w:spacing w:before="0" w:after="40"/>
        <w:rPr/>
      </w:pPr>
      <w:r>
        <w:rPr>
          <w:rFonts w:eastAsia="Arial" w:cs="Arial"/>
          <w:b w:val="false"/>
          <w:bCs w:val="false"/>
          <w:color w:val="1A1A1A"/>
          <w:sz w:val="20"/>
          <w:szCs w:val="20"/>
        </w:rPr>
        <w:t xml:space="preserve">    </w:t>
      </w:r>
      <w:r>
        <w:rPr>
          <w:rFonts w:eastAsia="Arial" w:cs="Arial"/>
          <w:b w:val="false"/>
          <w:bCs w:val="false"/>
          <w:color w:val="1A1A1A"/>
          <w:sz w:val="20"/>
          <w:szCs w:val="20"/>
        </w:rPr>
        <w:t>5.5  Synthetic Benchmark Evaluation</w:t>
      </w:r>
      <w:r>
        <w:rPr>
          <w:rFonts w:eastAsia="Arial" w:cs="Arial"/>
          <w:color w:val="555555"/>
          <w:sz w:val="20"/>
          <w:szCs w:val="20"/>
        </w:rPr>
        <w:t xml:space="preserve"> .......... 16</w:t>
      </w:r>
    </w:p>
    <w:p>
      <w:pPr>
        <w:pStyle w:val="Normal"/>
        <w:spacing w:before="0" w:after="40"/>
        <w:rPr/>
      </w:pPr>
      <w:r>
        <w:rPr>
          <w:rFonts w:eastAsia="Arial" w:cs="Arial"/>
          <w:b w:val="false"/>
          <w:bCs w:val="false"/>
          <w:color w:val="1A1A1A"/>
          <w:sz w:val="20"/>
          <w:szCs w:val="20"/>
        </w:rPr>
        <w:t xml:space="preserve">    </w:t>
      </w:r>
      <w:r>
        <w:rPr>
          <w:rFonts w:eastAsia="Arial" w:cs="Arial"/>
          <w:b w:val="false"/>
          <w:bCs w:val="false"/>
          <w:color w:val="1A1A1A"/>
          <w:sz w:val="20"/>
          <w:szCs w:val="20"/>
        </w:rPr>
        <w:t>5.6  Gibbs Sampling vs. MEME: Comparative Analysis</w:t>
      </w:r>
      <w:r>
        <w:rPr>
          <w:rFonts w:eastAsia="Arial" w:cs="Arial"/>
          <w:color w:val="555555"/>
          <w:sz w:val="20"/>
          <w:szCs w:val="20"/>
        </w:rPr>
        <w:t xml:space="preserve"> .......... 17</w:t>
      </w:r>
    </w:p>
    <w:p>
      <w:pPr>
        <w:pStyle w:val="Normal"/>
        <w:spacing w:before="0" w:after="40"/>
        <w:rPr/>
      </w:pPr>
      <w:r>
        <w:rPr>
          <w:rFonts w:eastAsia="Arial" w:cs="Arial"/>
          <w:b w:val="false"/>
          <w:bCs w:val="false"/>
          <w:color w:val="1A1A1A"/>
          <w:sz w:val="20"/>
          <w:szCs w:val="20"/>
        </w:rPr>
        <w:t xml:space="preserve">    </w:t>
      </w:r>
      <w:r>
        <w:rPr>
          <w:rFonts w:eastAsia="Arial" w:cs="Arial"/>
          <w:b w:val="false"/>
          <w:bCs w:val="false"/>
          <w:color w:val="1A1A1A"/>
          <w:sz w:val="20"/>
          <w:szCs w:val="20"/>
        </w:rPr>
        <w:t>5.7  Validation Against Published Literature</w:t>
      </w:r>
      <w:r>
        <w:rPr>
          <w:rFonts w:eastAsia="Arial" w:cs="Arial"/>
          <w:color w:val="555555"/>
          <w:sz w:val="20"/>
          <w:szCs w:val="20"/>
        </w:rPr>
        <w:t xml:space="preserve"> .......... 17</w:t>
      </w:r>
    </w:p>
    <w:p>
      <w:pPr>
        <w:pStyle w:val="Normal"/>
        <w:spacing w:before="0" w:after="80"/>
        <w:rPr/>
      </w:pPr>
      <w:r>
        <w:rPr>
          <w:rFonts w:eastAsia="Arial" w:cs="Arial"/>
          <w:b/>
          <w:bCs/>
          <w:color w:val="1E3A5F"/>
          <w:sz w:val="22"/>
          <w:szCs w:val="22"/>
        </w:rPr>
        <w:t>Chapter 6: Applications and Future Work</w:t>
      </w:r>
      <w:r>
        <w:rPr>
          <w:rFonts w:eastAsia="Arial" w:cs="Arial"/>
          <w:color w:val="555555"/>
          <w:sz w:val="20"/>
          <w:szCs w:val="20"/>
        </w:rPr>
        <w:t xml:space="preserve"> .......... 18</w:t>
      </w:r>
    </w:p>
    <w:p>
      <w:pPr>
        <w:pStyle w:val="Normal"/>
        <w:spacing w:before="0" w:after="40"/>
        <w:rPr/>
      </w:pPr>
      <w:r>
        <w:rPr>
          <w:rFonts w:eastAsia="Arial" w:cs="Arial"/>
          <w:b w:val="false"/>
          <w:bCs w:val="false"/>
          <w:color w:val="1A1A1A"/>
          <w:sz w:val="20"/>
          <w:szCs w:val="20"/>
        </w:rPr>
        <w:t xml:space="preserve">    </w:t>
      </w:r>
      <w:r>
        <w:rPr>
          <w:rFonts w:eastAsia="Arial" w:cs="Arial"/>
          <w:b w:val="false"/>
          <w:bCs w:val="false"/>
          <w:color w:val="1A1A1A"/>
          <w:sz w:val="20"/>
          <w:szCs w:val="20"/>
        </w:rPr>
        <w:t>6.1  Real-World Applications</w:t>
      </w:r>
      <w:r>
        <w:rPr>
          <w:rFonts w:eastAsia="Arial" w:cs="Arial"/>
          <w:color w:val="555555"/>
          <w:sz w:val="20"/>
          <w:szCs w:val="20"/>
        </w:rPr>
        <w:t xml:space="preserve"> .......... 18</w:t>
      </w:r>
    </w:p>
    <w:p>
      <w:pPr>
        <w:pStyle w:val="Normal"/>
        <w:spacing w:before="0" w:after="40"/>
        <w:rPr/>
      </w:pPr>
      <w:r>
        <w:rPr>
          <w:rFonts w:eastAsia="Arial" w:cs="Arial"/>
          <w:b w:val="false"/>
          <w:bCs w:val="false"/>
          <w:color w:val="1A1A1A"/>
          <w:sz w:val="20"/>
          <w:szCs w:val="20"/>
        </w:rPr>
        <w:t xml:space="preserve">    </w:t>
      </w:r>
      <w:r>
        <w:rPr>
          <w:rFonts w:eastAsia="Arial" w:cs="Arial"/>
          <w:b w:val="false"/>
          <w:bCs w:val="false"/>
          <w:color w:val="1A1A1A"/>
          <w:sz w:val="20"/>
          <w:szCs w:val="20"/>
        </w:rPr>
        <w:t>6.2  Limitations</w:t>
      </w:r>
      <w:r>
        <w:rPr>
          <w:rFonts w:eastAsia="Arial" w:cs="Arial"/>
          <w:color w:val="555555"/>
          <w:sz w:val="20"/>
          <w:szCs w:val="20"/>
        </w:rPr>
        <w:t xml:space="preserve"> .......... 19</w:t>
      </w:r>
    </w:p>
    <w:p>
      <w:pPr>
        <w:pStyle w:val="Normal"/>
        <w:spacing w:before="0" w:after="40"/>
        <w:rPr/>
      </w:pPr>
      <w:r>
        <w:rPr>
          <w:rFonts w:eastAsia="Arial" w:cs="Arial"/>
          <w:b w:val="false"/>
          <w:bCs w:val="false"/>
          <w:color w:val="1A1A1A"/>
          <w:sz w:val="20"/>
          <w:szCs w:val="20"/>
        </w:rPr>
        <w:t xml:space="preserve">    </w:t>
      </w:r>
      <w:r>
        <w:rPr>
          <w:rFonts w:eastAsia="Arial" w:cs="Arial"/>
          <w:b w:val="false"/>
          <w:bCs w:val="false"/>
          <w:color w:val="1A1A1A"/>
          <w:sz w:val="20"/>
          <w:szCs w:val="20"/>
        </w:rPr>
        <w:t>6.3  Future Work</w:t>
      </w:r>
      <w:r>
        <w:rPr>
          <w:rFonts w:eastAsia="Arial" w:cs="Arial"/>
          <w:color w:val="555555"/>
          <w:sz w:val="20"/>
          <w:szCs w:val="20"/>
        </w:rPr>
        <w:t xml:space="preserve"> .......... 19</w:t>
      </w:r>
    </w:p>
    <w:p>
      <w:pPr>
        <w:pStyle w:val="Normal"/>
        <w:spacing w:before="0" w:after="80"/>
        <w:rPr/>
      </w:pPr>
      <w:r>
        <w:rPr>
          <w:rFonts w:eastAsia="Arial" w:cs="Arial"/>
          <w:b/>
          <w:bCs/>
          <w:color w:val="1E3A5F"/>
          <w:sz w:val="22"/>
          <w:szCs w:val="22"/>
        </w:rPr>
        <w:t>Chapter 7: Conclusion</w:t>
      </w:r>
      <w:r>
        <w:rPr>
          <w:rFonts w:eastAsia="Arial" w:cs="Arial"/>
          <w:color w:val="555555"/>
          <w:sz w:val="20"/>
          <w:szCs w:val="20"/>
        </w:rPr>
        <w:t xml:space="preserve"> .......... 20</w:t>
      </w:r>
    </w:p>
    <w:p>
      <w:pPr>
        <w:pStyle w:val="Normal"/>
        <w:spacing w:before="0" w:after="80"/>
        <w:rPr/>
      </w:pPr>
      <w:r>
        <w:rPr>
          <w:rFonts w:eastAsia="Arial" w:cs="Arial"/>
          <w:b/>
          <w:bCs/>
          <w:color w:val="1A1A1A"/>
          <w:sz w:val="22"/>
          <w:szCs w:val="22"/>
        </w:rPr>
        <w:t>References</w:t>
      </w:r>
      <w:r>
        <w:rPr>
          <w:rFonts w:eastAsia="Arial" w:cs="Arial"/>
          <w:color w:val="555555"/>
          <w:sz w:val="20"/>
          <w:szCs w:val="20"/>
        </w:rPr>
        <w:t xml:space="preserve"> .......... 21</w:t>
      </w:r>
    </w:p>
    <w:p>
      <w:pPr>
        <w:pStyle w:val="Normal"/>
        <w:spacing w:before="0" w:after="40"/>
        <w:rPr/>
      </w:pPr>
      <w:r>
        <w:rPr>
          <w:rFonts w:eastAsia="Arial" w:cs="Arial"/>
          <w:b w:val="false"/>
          <w:bCs w:val="false"/>
          <w:color w:val="1A1A1A"/>
          <w:sz w:val="22"/>
          <w:szCs w:val="22"/>
        </w:rPr>
        <w:t>Appendix A: Project File Structure</w:t>
      </w:r>
      <w:r>
        <w:rPr>
          <w:rFonts w:eastAsia="Arial" w:cs="Arial"/>
          <w:color w:val="555555"/>
          <w:sz w:val="20"/>
          <w:szCs w:val="20"/>
        </w:rPr>
        <w:t xml:space="preserve"> .......... 23</w:t>
      </w:r>
    </w:p>
    <w:p>
      <w:pPr>
        <w:pStyle w:val="Normal"/>
        <w:spacing w:before="0" w:after="40"/>
        <w:rPr/>
      </w:pPr>
      <w:r>
        <w:rPr>
          <w:rFonts w:eastAsia="Arial" w:cs="Arial"/>
          <w:b w:val="false"/>
          <w:bCs w:val="false"/>
          <w:color w:val="1A1A1A"/>
          <w:sz w:val="22"/>
          <w:szCs w:val="22"/>
        </w:rPr>
        <w:t>Appendix B: Key Algorithm Parameters</w:t>
      </w:r>
      <w:r>
        <w:rPr>
          <w:rFonts w:eastAsia="Arial" w:cs="Arial"/>
          <w:color w:val="555555"/>
          <w:sz w:val="20"/>
          <w:szCs w:val="20"/>
        </w:rPr>
        <w:t xml:space="preserve"> .......... 24</w:t>
      </w:r>
    </w:p>
    <w:p>
      <w:pPr>
        <w:pStyle w:val="Normal"/>
        <w:spacing w:before="0" w:after="0"/>
        <w:rPr/>
      </w:pPr>
      <w:r>
        <w:rPr/>
      </w:r>
      <w:r>
        <w:br w:type="page"/>
      </w:r>
    </w:p>
    <w:p>
      <w:pPr>
        <w:pStyle w:val="Heading1"/>
        <w:spacing w:before="360" w:after="180"/>
        <w:rPr/>
      </w:pPr>
      <w:r>
        <w:rPr>
          <w:b/>
          <w:bCs/>
        </w:rPr>
        <w:t>Chapter 1: Introduction</w:t>
      </w:r>
    </w:p>
    <w:p>
      <w:pPr>
        <w:pStyle w:val="Normal"/>
        <w:pBdr>
          <w:bottom w:val="single" w:sz="6" w:space="1" w:color="1E3A5F"/>
        </w:pBdr>
        <w:spacing w:before="0" w:after="120"/>
        <w:rPr/>
      </w:pPr>
      <w:r>
        <w:rPr/>
      </w:r>
    </w:p>
    <w:p>
      <w:pPr>
        <w:pStyle w:val="Heading2"/>
        <w:spacing w:before="280" w:after="120"/>
        <w:rPr/>
      </w:pPr>
      <w:r>
        <w:rPr>
          <w:b/>
          <w:bCs/>
        </w:rPr>
        <w:t>1.1  Background and Motivation</w:t>
      </w:r>
    </w:p>
    <w:p>
      <w:pPr>
        <w:pStyle w:val="Normal"/>
        <w:spacing w:before="0" w:after="120"/>
        <w:jc w:val="both"/>
        <w:rPr/>
      </w:pPr>
      <w:r>
        <w:rPr>
          <w:rFonts w:eastAsia="Arial" w:cs="Arial"/>
          <w:color w:val="1A1A1A"/>
          <w:sz w:val="24"/>
          <w:szCs w:val="24"/>
        </w:rPr>
        <w:t>Biological sequences — DNA, RNA, and proteins — carry the complete instructions for life. Within these sequences lie short, recurring patterns called motifs that act as the vocabulary of gene regulation. A transcription factor binding site in the promoter of a gene, for instance, may span only 8–12 nucleotides yet determine whether that gene is expressed at all. Identifying these motifs computationally — from large collections of sequences and without prior knowledge of what to look for — is one of the central problems in bioinformatics.</w:t>
      </w:r>
    </w:p>
    <w:p>
      <w:pPr>
        <w:pStyle w:val="Normal"/>
        <w:spacing w:before="0" w:after="120"/>
        <w:jc w:val="both"/>
        <w:rPr/>
      </w:pPr>
      <w:r>
        <w:rPr>
          <w:rFonts w:eastAsia="Arial" w:cs="Arial"/>
          <w:color w:val="1A1A1A"/>
          <w:sz w:val="24"/>
          <w:szCs w:val="24"/>
        </w:rPr>
        <w:t>The challenge has intensified with the explosion of genomic data from next-generation sequencing. A single ChIP-seq experiment can identify thousands of transcription factor binding sites across the human genome; a DAP-seq experiment in Arabidopsis covers the binding profiles of hundreds of transcription factors simultaneously. Manual identification is impossible; computational motif discovery is essential.</w:t>
      </w:r>
    </w:p>
    <w:p>
      <w:pPr>
        <w:pStyle w:val="Normal"/>
        <w:spacing w:before="0" w:after="120"/>
        <w:jc w:val="both"/>
        <w:rPr/>
      </w:pPr>
      <w:r>
        <w:rPr>
          <w:rFonts w:eastAsia="Arial" w:cs="Arial"/>
          <w:color w:val="1A1A1A"/>
          <w:sz w:val="24"/>
          <w:szCs w:val="24"/>
        </w:rPr>
        <w:t>This project implements and evaluates two foundational motif discovery algorithms — MEME (Multiple EM for Motif Elicitation) and Gibbs Sampling — applies them to real biological datasets sourced from the JASPAR CORE database and NCBI Entrez, and validates the findings against known published motifs.</w:t>
      </w:r>
    </w:p>
    <w:p>
      <w:pPr>
        <w:pStyle w:val="Heading2"/>
        <w:spacing w:before="280" w:after="120"/>
        <w:rPr/>
      </w:pPr>
      <w:r>
        <w:rPr>
          <w:b/>
          <w:bCs/>
        </w:rPr>
        <w:t>1.2  Problem Statement</w:t>
      </w:r>
    </w:p>
    <w:p>
      <w:pPr>
        <w:pStyle w:val="Normal"/>
        <w:spacing w:before="0" w:after="120"/>
        <w:jc w:val="both"/>
        <w:rPr/>
      </w:pPr>
      <w:r>
        <w:rPr>
          <w:rFonts w:eastAsia="Arial" w:cs="Arial"/>
          <w:color w:val="1A1A1A"/>
          <w:sz w:val="24"/>
          <w:szCs w:val="24"/>
        </w:rPr>
        <w:t>Given a set of biological sequences (DNA, RNA, or protein), find all statistically significant recurring patterns that:</w:t>
      </w:r>
    </w:p>
    <w:p>
      <w:pPr>
        <w:pStyle w:val="ListParagraph"/>
        <w:numPr>
          <w:ilvl w:val="0"/>
          <w:numId w:val="68"/>
        </w:numPr>
        <w:spacing w:before="0" w:after="60"/>
        <w:rPr/>
      </w:pPr>
      <w:r>
        <w:rPr>
          <w:rFonts w:eastAsia="Arial" w:cs="Arial"/>
          <w:color w:val="1A1A1A"/>
          <w:sz w:val="24"/>
          <w:szCs w:val="24"/>
        </w:rPr>
        <w:t>Are short (typically 6–20 nucleotides or amino acids for DNA/RNA; 6–50 residues for proteins)</w:t>
      </w:r>
    </w:p>
    <w:p>
      <w:pPr>
        <w:pStyle w:val="ListParagraph"/>
        <w:numPr>
          <w:ilvl w:val="0"/>
          <w:numId w:val="69"/>
        </w:numPr>
        <w:spacing w:before="0" w:after="60"/>
        <w:rPr/>
      </w:pPr>
      <w:r>
        <w:rPr>
          <w:rFonts w:eastAsia="Arial" w:cs="Arial"/>
          <w:color w:val="1A1A1A"/>
          <w:sz w:val="24"/>
          <w:szCs w:val="24"/>
        </w:rPr>
        <w:t>Are biologically meaningful — corresponding to functional elements such as transcription factor binding sites, splice sites, or signal peptides</w:t>
      </w:r>
    </w:p>
    <w:p>
      <w:pPr>
        <w:pStyle w:val="ListParagraph"/>
        <w:numPr>
          <w:ilvl w:val="0"/>
          <w:numId w:val="70"/>
        </w:numPr>
        <w:spacing w:before="0" w:after="60"/>
        <w:rPr/>
      </w:pPr>
      <w:r>
        <w:rPr>
          <w:rFonts w:eastAsia="Arial" w:cs="Arial"/>
          <w:color w:val="1A1A1A"/>
          <w:sz w:val="24"/>
          <w:szCs w:val="24"/>
        </w:rPr>
        <w:t>Allow positional variability — the same motif may appear with mismatches or insertions across different sequences</w:t>
      </w:r>
    </w:p>
    <w:p>
      <w:pPr>
        <w:pStyle w:val="ListParagraph"/>
        <w:numPr>
          <w:ilvl w:val="0"/>
          <w:numId w:val="71"/>
        </w:numPr>
        <w:spacing w:before="0" w:after="60"/>
        <w:rPr/>
      </w:pPr>
      <w:r>
        <w:rPr>
          <w:rFonts w:eastAsia="Arial" w:cs="Arial"/>
          <w:color w:val="1A1A1A"/>
          <w:sz w:val="24"/>
          <w:szCs w:val="24"/>
        </w:rPr>
        <w:t>Have a statistical significance that distinguishes them from patterns expected by chance given the background nucleotide composition</w:t>
      </w:r>
    </w:p>
    <w:p>
      <w:pPr>
        <w:pStyle w:val="Heading2"/>
        <w:spacing w:before="280" w:after="120"/>
        <w:rPr/>
      </w:pPr>
      <w:r>
        <w:rPr>
          <w:b/>
          <w:bCs/>
        </w:rPr>
        <w:t>1.3  Objectives</w:t>
      </w:r>
    </w:p>
    <w:p>
      <w:pPr>
        <w:pStyle w:val="ListParagraph"/>
        <w:numPr>
          <w:ilvl w:val="0"/>
          <w:numId w:val="72"/>
        </w:numPr>
        <w:spacing w:before="0" w:after="80"/>
        <w:rPr/>
      </w:pPr>
      <w:r>
        <w:rPr>
          <w:rFonts w:eastAsia="Arial" w:cs="Arial"/>
          <w:color w:val="1A1A1A"/>
          <w:sz w:val="24"/>
          <w:szCs w:val="24"/>
        </w:rPr>
        <w:t>Implement the MEME algorithm from scratch, including the full Expectation-Maximisation loop with OOPS (One Occurrence Per Sequence) and ZOOPS (Zero or One Occurrence Per Sequence) models.</w:t>
      </w:r>
    </w:p>
    <w:p>
      <w:pPr>
        <w:pStyle w:val="ListParagraph"/>
        <w:numPr>
          <w:ilvl w:val="0"/>
          <w:numId w:val="73"/>
        </w:numPr>
        <w:spacing w:before="0" w:after="80"/>
        <w:rPr/>
      </w:pPr>
      <w:r>
        <w:rPr>
          <w:rFonts w:eastAsia="Arial" w:cs="Arial"/>
          <w:color w:val="1A1A1A"/>
          <w:sz w:val="24"/>
          <w:szCs w:val="24"/>
        </w:rPr>
        <w:t>Implement the Gibbs Sampling algorithm with multi-start randomised initialisation, probabilistic position sampling, and convergence tracking.</w:t>
      </w:r>
    </w:p>
    <w:p>
      <w:pPr>
        <w:pStyle w:val="ListParagraph"/>
        <w:numPr>
          <w:ilvl w:val="0"/>
          <w:numId w:val="74"/>
        </w:numPr>
        <w:spacing w:before="0" w:after="80"/>
        <w:rPr/>
      </w:pPr>
      <w:r>
        <w:rPr>
          <w:rFonts w:eastAsia="Arial" w:cs="Arial"/>
          <w:color w:val="1A1A1A"/>
          <w:sz w:val="24"/>
          <w:szCs w:val="24"/>
        </w:rPr>
        <w:t>Acquire real biological datasets from JASPAR CORE (22 matrices, 4 organisms, 5 experiment types) via the REST API.</w:t>
      </w:r>
    </w:p>
    <w:p>
      <w:pPr>
        <w:pStyle w:val="ListParagraph"/>
        <w:numPr>
          <w:ilvl w:val="0"/>
          <w:numId w:val="75"/>
        </w:numPr>
        <w:spacing w:before="0" w:after="80"/>
        <w:rPr/>
      </w:pPr>
      <w:r>
        <w:rPr>
          <w:rFonts w:eastAsia="Arial" w:cs="Arial"/>
          <w:color w:val="1A1A1A"/>
          <w:sz w:val="24"/>
          <w:szCs w:val="24"/>
        </w:rPr>
        <w:t>Evaluate both algorithms against synthetic benchmark datasets with planted ground-truth motifs using sensitivity, PPV, F1, and nucleotide correlation coefficient (nCC).</w:t>
      </w:r>
    </w:p>
    <w:p>
      <w:pPr>
        <w:pStyle w:val="ListParagraph"/>
        <w:numPr>
          <w:ilvl w:val="0"/>
          <w:numId w:val="76"/>
        </w:numPr>
        <w:spacing w:before="0" w:after="80"/>
        <w:rPr/>
      </w:pPr>
      <w:r>
        <w:rPr>
          <w:rFonts w:eastAsia="Arial" w:cs="Arial"/>
          <w:color w:val="1A1A1A"/>
          <w:sz w:val="24"/>
          <w:szCs w:val="24"/>
        </w:rPr>
        <w:t>Visualise results as sequence logos, PWM heatmaps, convergence curves, and cross-dataset comparison charts.</w:t>
      </w:r>
    </w:p>
    <w:p>
      <w:pPr>
        <w:pStyle w:val="ListParagraph"/>
        <w:numPr>
          <w:ilvl w:val="0"/>
          <w:numId w:val="77"/>
        </w:numPr>
        <w:spacing w:before="0" w:after="80"/>
        <w:rPr/>
      </w:pPr>
      <w:r>
        <w:rPr>
          <w:rFonts w:eastAsia="Arial" w:cs="Arial"/>
          <w:color w:val="1A1A1A"/>
          <w:sz w:val="24"/>
          <w:szCs w:val="24"/>
        </w:rPr>
        <w:t>Validate computational findings against known published motifs from the bioinformatics literature.</w:t>
      </w:r>
    </w:p>
    <w:p>
      <w:pPr>
        <w:pStyle w:val="Heading2"/>
        <w:spacing w:before="280" w:after="120"/>
        <w:rPr/>
      </w:pPr>
      <w:r>
        <w:rPr>
          <w:b/>
          <w:bCs/>
        </w:rPr>
        <w:t>1.4  Scope of the Project</w:t>
      </w:r>
    </w:p>
    <w:p>
      <w:pPr>
        <w:pStyle w:val="Normal"/>
        <w:spacing w:before="0" w:after="120"/>
        <w:jc w:val="both"/>
        <w:rPr/>
      </w:pPr>
      <w:r>
        <w:rPr>
          <w:rFonts w:eastAsia="Arial" w:cs="Arial"/>
          <w:color w:val="1A1A1A"/>
          <w:sz w:val="24"/>
          <w:szCs w:val="24"/>
        </w:rPr>
        <w:t>This project focuses on de novo motif discovery — finding motifs without prior knowledge of their sequence. It does not cover motif scanning (searching for a known motif in new sequences), though the implemented PWM scoring module supports this as a natural extension. The algorithms are implemented for DNA sequences; the framework is extensible to protein sequences by changing the alphabet.</w:t>
      </w:r>
    </w:p>
    <w:p>
      <w:pPr>
        <w:pStyle w:val="Normal"/>
        <w:spacing w:before="0" w:after="120"/>
        <w:jc w:val="both"/>
        <w:rPr/>
      </w:pPr>
      <w:r>
        <w:rPr>
          <w:rFonts w:eastAsia="Arial" w:cs="Arial"/>
          <w:color w:val="1A1A1A"/>
          <w:sz w:val="24"/>
          <w:szCs w:val="24"/>
        </w:rPr>
        <w:t>Real datasets were sourced from JASPAR CORE (jaspar.elixir.no), the world's largest open-access database of curated transcription factor binding profiles. Binding-site sequences were generated by probabilistic sampling from Position Frequency Matrices (PFMs), each derived from published experimental data. Synthetic benchmark datasets with planted motifs were generated to enable objective performance measurement.</w:t>
      </w:r>
    </w:p>
    <w:p>
      <w:pPr>
        <w:pStyle w:val="Heading2"/>
        <w:spacing w:before="280" w:after="120"/>
        <w:rPr/>
      </w:pPr>
      <w:r>
        <w:rPr>
          <w:b/>
          <w:bCs/>
        </w:rPr>
        <w:t>1.5  Organisation of the Report</w:t>
      </w:r>
    </w:p>
    <w:p>
      <w:pPr>
        <w:pStyle w:val="Normal"/>
        <w:spacing w:before="0" w:after="120"/>
        <w:jc w:val="both"/>
        <w:rPr/>
      </w:pPr>
      <w:r>
        <w:rPr>
          <w:rFonts w:eastAsia="Arial" w:cs="Arial"/>
          <w:color w:val="1A1A1A"/>
          <w:sz w:val="24"/>
          <w:szCs w:val="24"/>
        </w:rPr>
        <w:t>Chapter 2 provides the theoretical background including molecular biology context, algorithm derivations, and mathematical formulations. Chapter 3 describes the datasets. Chapter 4 details the implementation. Chapter 5 presents results and analysis. Chapter 6 discusses applications and future work. Chapter 7 concludes.</w:t>
      </w:r>
    </w:p>
    <w:p>
      <w:pPr>
        <w:pStyle w:val="Normal"/>
        <w:spacing w:before="0" w:after="0"/>
        <w:rPr/>
      </w:pPr>
      <w:r>
        <w:rPr/>
      </w:r>
      <w:r>
        <w:br w:type="page"/>
      </w:r>
    </w:p>
    <w:p>
      <w:pPr>
        <w:pStyle w:val="Heading1"/>
        <w:spacing w:before="360" w:after="180"/>
        <w:rPr/>
      </w:pPr>
      <w:r>
        <w:rPr>
          <w:b/>
          <w:bCs/>
        </w:rPr>
        <w:t>Chapter 2: Theoretical Background</w:t>
      </w:r>
    </w:p>
    <w:p>
      <w:pPr>
        <w:pStyle w:val="Normal"/>
        <w:pBdr>
          <w:bottom w:val="single" w:sz="6" w:space="1" w:color="1E3A5F"/>
        </w:pBdr>
        <w:spacing w:before="0" w:after="120"/>
        <w:rPr/>
      </w:pPr>
      <w:r>
        <w:rPr/>
      </w:r>
    </w:p>
    <w:p>
      <w:pPr>
        <w:pStyle w:val="Heading2"/>
        <w:spacing w:before="280" w:after="120"/>
        <w:rPr/>
      </w:pPr>
      <w:r>
        <w:rPr>
          <w:b/>
          <w:bCs/>
        </w:rPr>
        <w:t>2.1  Biological Motifs — Definition and Types</w:t>
      </w:r>
    </w:p>
    <w:p>
      <w:pPr>
        <w:pStyle w:val="Normal"/>
        <w:spacing w:before="0" w:after="120"/>
        <w:jc w:val="both"/>
        <w:rPr/>
      </w:pPr>
      <w:r>
        <w:rPr>
          <w:rFonts w:eastAsia="Arial" w:cs="Arial"/>
          <w:color w:val="1A1A1A"/>
          <w:sz w:val="24"/>
          <w:szCs w:val="24"/>
        </w:rPr>
        <w:t>A biological motif is a short, statistically over-represented sequence pattern that occurs in a set of biologically related sequences and is associated with a specific function. Motifs are the fundamental units through which cells control which genes are expressed, where and when.</w:t>
      </w:r>
    </w:p>
    <w:p>
      <w:pPr>
        <w:pStyle w:val="Heading3"/>
        <w:spacing w:before="200" w:after="80"/>
        <w:rPr/>
      </w:pPr>
      <w:r>
        <w:rPr>
          <w:b/>
          <w:bCs/>
        </w:rPr>
        <w:t>2.1.1  DNA Motifs</w:t>
      </w:r>
    </w:p>
    <w:p>
      <w:pPr>
        <w:pStyle w:val="Normal"/>
        <w:spacing w:before="0" w:after="120"/>
        <w:jc w:val="both"/>
        <w:rPr/>
      </w:pPr>
      <w:r>
        <w:rPr>
          <w:rFonts w:eastAsia="Arial" w:cs="Arial"/>
          <w:color w:val="1A1A1A"/>
          <w:sz w:val="24"/>
          <w:szCs w:val="24"/>
        </w:rPr>
        <w:t>DNA motifs primarily function as binding sites for transcription factors (TFs) — proteins that regulate gene expression by binding to specific sequence elements in gene promoters and enhancers. Key classes include:</w:t>
      </w:r>
    </w:p>
    <w:p>
      <w:pPr>
        <w:pStyle w:val="ListParagraph"/>
        <w:numPr>
          <w:ilvl w:val="0"/>
          <w:numId w:val="78"/>
        </w:numPr>
        <w:spacing w:before="0" w:after="60"/>
        <w:rPr/>
      </w:pPr>
      <w:r>
        <w:rPr>
          <w:rFonts w:eastAsia="Arial" w:cs="Arial"/>
          <w:color w:val="1A1A1A"/>
          <w:sz w:val="24"/>
          <w:szCs w:val="24"/>
        </w:rPr>
        <w:t>Transcription Factor Binding Sites (TFBS): 6–20 bp sequences recognised by the DNA-binding domain of a TF. Example: the TATA box (TATAAA) recruits TATA-binding protein (TBP) to initiate transcription.</w:t>
      </w:r>
    </w:p>
    <w:p>
      <w:pPr>
        <w:pStyle w:val="ListParagraph"/>
        <w:numPr>
          <w:ilvl w:val="0"/>
          <w:numId w:val="79"/>
        </w:numPr>
        <w:spacing w:before="0" w:after="60"/>
        <w:rPr/>
      </w:pPr>
      <w:r>
        <w:rPr>
          <w:rFonts w:eastAsia="Arial" w:cs="Arial"/>
          <w:color w:val="1A1A1A"/>
          <w:sz w:val="24"/>
          <w:szCs w:val="24"/>
        </w:rPr>
        <w:t>Promoter elements: the −35 (TTGACA) and −10 (TATAAT) elements in bacterial promoters that define sigma factor binding in E. coli RNA polymerase.</w:t>
      </w:r>
    </w:p>
    <w:p>
      <w:pPr>
        <w:pStyle w:val="ListParagraph"/>
        <w:numPr>
          <w:ilvl w:val="0"/>
          <w:numId w:val="80"/>
        </w:numPr>
        <w:spacing w:before="0" w:after="60"/>
        <w:rPr/>
      </w:pPr>
      <w:r>
        <w:rPr>
          <w:rFonts w:eastAsia="Arial" w:cs="Arial"/>
          <w:color w:val="1A1A1A"/>
          <w:sz w:val="24"/>
          <w:szCs w:val="24"/>
        </w:rPr>
        <w:t>Enhancer sequences: distal regulatory elements that loop to the promoter to activate transcription.</w:t>
      </w:r>
    </w:p>
    <w:p>
      <w:pPr>
        <w:pStyle w:val="ListParagraph"/>
        <w:numPr>
          <w:ilvl w:val="0"/>
          <w:numId w:val="81"/>
        </w:numPr>
        <w:spacing w:before="0" w:after="60"/>
        <w:rPr/>
      </w:pPr>
      <w:r>
        <w:rPr>
          <w:rFonts w:eastAsia="Arial" w:cs="Arial"/>
          <w:color w:val="1A1A1A"/>
          <w:sz w:val="24"/>
          <w:szCs w:val="24"/>
        </w:rPr>
        <w:t>Splice site signals: GT at the 5' splice site and AG at the 3' splice site of introns in eukaryotes.</w:t>
      </w:r>
    </w:p>
    <w:p>
      <w:pPr>
        <w:pStyle w:val="ListParagraph"/>
        <w:numPr>
          <w:ilvl w:val="0"/>
          <w:numId w:val="82"/>
        </w:numPr>
        <w:spacing w:before="0" w:after="60"/>
        <w:rPr/>
      </w:pPr>
      <w:r>
        <w:rPr>
          <w:rFonts w:eastAsia="Arial" w:cs="Arial"/>
          <w:color w:val="1A1A1A"/>
          <w:sz w:val="24"/>
          <w:szCs w:val="24"/>
        </w:rPr>
        <w:t>The G-box (CACGTG): a conserved cis-element in plant promoters bound by bHLH and bZIP transcription factors; central to light, ABA, and drought responses.</w:t>
      </w:r>
    </w:p>
    <w:p>
      <w:pPr>
        <w:pStyle w:val="ListParagraph"/>
        <w:numPr>
          <w:ilvl w:val="0"/>
          <w:numId w:val="83"/>
        </w:numPr>
        <w:spacing w:before="0" w:after="60"/>
        <w:rPr/>
      </w:pPr>
      <w:r>
        <w:rPr>
          <w:rFonts w:eastAsia="Arial" w:cs="Arial"/>
          <w:color w:val="1A1A1A"/>
          <w:sz w:val="24"/>
          <w:szCs w:val="24"/>
        </w:rPr>
        <w:t>The E-box (CANNTG): bound by bHLH factors including MYC, MAX, and MyoD in vertebrates; controls cell growth and differentiation.</w:t>
      </w:r>
    </w:p>
    <w:p>
      <w:pPr>
        <w:pStyle w:val="Heading3"/>
        <w:spacing w:before="200" w:after="80"/>
        <w:rPr/>
      </w:pPr>
      <w:r>
        <w:rPr>
          <w:b/>
          <w:bCs/>
        </w:rPr>
        <w:t>2.1.2  Protein Motifs</w:t>
      </w:r>
    </w:p>
    <w:p>
      <w:pPr>
        <w:pStyle w:val="Normal"/>
        <w:spacing w:before="0" w:after="120"/>
        <w:jc w:val="both"/>
        <w:rPr/>
      </w:pPr>
      <w:r>
        <w:rPr>
          <w:rFonts w:eastAsia="Arial" w:cs="Arial"/>
          <w:color w:val="1A1A1A"/>
          <w:sz w:val="24"/>
          <w:szCs w:val="24"/>
        </w:rPr>
        <w:t>Protein motifs are short conserved sequence patterns within proteins that correspond to structural or functional elements. Examples include the zinc finger domain (CX2–4CX3FX5LX2HX3–5H), the leucine zipper (periodic leucines every 7 residues for dimerisation), signal peptides (N-terminal hydrophobic sequences directing secretion), and active site residues.</w:t>
      </w:r>
    </w:p>
    <w:p>
      <w:pPr>
        <w:pStyle w:val="Heading3"/>
        <w:spacing w:before="200" w:after="80"/>
        <w:rPr/>
      </w:pPr>
      <w:r>
        <w:rPr>
          <w:b/>
          <w:bCs/>
        </w:rPr>
        <w:t>2.1.3  RNA Motifs</w:t>
      </w:r>
    </w:p>
    <w:p>
      <w:pPr>
        <w:pStyle w:val="Normal"/>
        <w:spacing w:before="0" w:after="120"/>
        <w:jc w:val="both"/>
        <w:rPr/>
      </w:pPr>
      <w:r>
        <w:rPr>
          <w:rFonts w:eastAsia="Arial" w:cs="Arial"/>
          <w:color w:val="1A1A1A"/>
          <w:sz w:val="24"/>
          <w:szCs w:val="24"/>
        </w:rPr>
        <w:t>RNA motifs include the Shine-Dalgarno sequence (AGGAGG) upstream of the start codon in bacterial mRNAs, miRNA binding sites in 3' UTRs of eukaryotic mRNAs, and structural motifs such as stem-loops that regulate translation and stability.</w:t>
      </w:r>
    </w:p>
    <w:p>
      <w:pPr>
        <w:pStyle w:val="Heading2"/>
        <w:spacing w:before="280" w:after="120"/>
        <w:rPr/>
      </w:pPr>
      <w:r>
        <w:rPr>
          <w:b/>
          <w:bCs/>
        </w:rPr>
        <w:t>2.2  Motif Representation</w:t>
      </w:r>
    </w:p>
    <w:p>
      <w:pPr>
        <w:pStyle w:val="Heading3"/>
        <w:spacing w:before="200" w:after="80"/>
        <w:rPr/>
      </w:pPr>
      <w:r>
        <w:rPr>
          <w:b/>
          <w:bCs/>
        </w:rPr>
        <w:t>2.2.1  Consensus Sequence</w:t>
      </w:r>
    </w:p>
    <w:p>
      <w:pPr>
        <w:pStyle w:val="Normal"/>
        <w:spacing w:before="0" w:after="120"/>
        <w:jc w:val="both"/>
        <w:rPr/>
      </w:pPr>
      <w:r>
        <w:rPr>
          <w:rFonts w:eastAsia="Arial" w:cs="Arial"/>
          <w:color w:val="1A1A1A"/>
          <w:sz w:val="24"/>
          <w:szCs w:val="24"/>
        </w:rPr>
        <w:t>The simplest representation is the consensus sequence — the most frequent nucleotide at each position of the motif. For example, the TATA box consensus is TATAAAA. The consensus is intuitive but discards information about variability. IUPAC ambiguity codes (R = A/G, Y = C/T, N = any) extend the consensus to represent degenerate positions.</w:t>
      </w:r>
    </w:p>
    <w:p>
      <w:pPr>
        <w:pStyle w:val="Heading3"/>
        <w:spacing w:before="200" w:after="80"/>
        <w:rPr/>
      </w:pPr>
      <w:r>
        <w:rPr>
          <w:b/>
          <w:bCs/>
        </w:rPr>
        <w:t>2.2.2  Position Frequency Matrix (PFM)</w:t>
      </w:r>
    </w:p>
    <w:p>
      <w:pPr>
        <w:pStyle w:val="Normal"/>
        <w:spacing w:before="0" w:after="120"/>
        <w:jc w:val="both"/>
        <w:rPr/>
      </w:pPr>
      <w:r>
        <w:rPr>
          <w:rFonts w:eastAsia="Arial" w:cs="Arial"/>
          <w:color w:val="1A1A1A"/>
          <w:sz w:val="24"/>
          <w:szCs w:val="24"/>
        </w:rPr>
        <w:t>A PFM is a matrix of dimensions W × 4 (W = motif width, 4 = {A, C, G, T}) where entry PFM[i][j] gives the count of nucleotide j at position i across all aligned binding site sequences. The PFM is the core data structure in the JASPAR database.</w:t>
      </w:r>
    </w:p>
    <w:p>
      <w:pPr>
        <w:pStyle w:val="Heading3"/>
        <w:spacing w:before="200" w:after="80"/>
        <w:rPr/>
      </w:pPr>
      <w:r>
        <w:rPr>
          <w:b/>
          <w:bCs/>
        </w:rPr>
        <w:t>2.2.3  Position Weight Matrix (PWM)</w:t>
      </w:r>
    </w:p>
    <w:p>
      <w:pPr>
        <w:pStyle w:val="Normal"/>
        <w:spacing w:before="0" w:after="120"/>
        <w:jc w:val="both"/>
        <w:rPr/>
      </w:pPr>
      <w:r>
        <w:rPr>
          <w:rFonts w:eastAsia="Arial" w:cs="Arial"/>
          <w:color w:val="1A1A1A"/>
          <w:sz w:val="24"/>
          <w:szCs w:val="24"/>
        </w:rPr>
        <w:t>The PWM (also called PSSM, Position-Specific Scoring Matrix) converts PFM counts to log-odds scores relative to a background model:</w:t>
      </w:r>
    </w:p>
    <w:p>
      <w:pPr>
        <w:pStyle w:val="Normal"/>
        <w:spacing w:before="80" w:after="80"/>
        <w:jc w:val="center"/>
        <w:rPr/>
      </w:pPr>
      <w:r>
        <w:rPr>
          <w:rFonts w:eastAsia="Courier New" w:cs="Courier New" w:ascii="Courier New" w:hAnsi="Courier New"/>
          <w:color w:val="1E3A5F"/>
          <w:sz w:val="20"/>
          <w:szCs w:val="20"/>
        </w:rPr>
        <w:t>PWM[i][j] = log₂( (PFM[i][j] + p) / (N + 4p) ) − log₂( b[j] )</w:t>
      </w:r>
    </w:p>
    <w:p>
      <w:pPr>
        <w:pStyle w:val="Normal"/>
        <w:spacing w:before="0" w:after="120"/>
        <w:jc w:val="both"/>
        <w:rPr/>
      </w:pPr>
      <w:r>
        <w:rPr>
          <w:rFonts w:eastAsia="Arial" w:cs="Arial"/>
          <w:color w:val="1A1A1A"/>
          <w:sz w:val="24"/>
          <w:szCs w:val="24"/>
        </w:rPr>
        <w:t>where p is a pseudocount (typically 0.1), N is the number of sites, and b[j] is the background frequency of nucleotide j. The score of a k-mer against the PWM is the sum of its position-specific log-odds values. A positive total score means the k-mer fits the motif better than expected from background.</w:t>
      </w:r>
    </w:p>
    <w:p>
      <w:pPr>
        <w:pStyle w:val="Heading3"/>
        <w:spacing w:before="200" w:after="80"/>
        <w:rPr/>
      </w:pPr>
      <w:r>
        <w:rPr>
          <w:b/>
          <w:bCs/>
        </w:rPr>
        <w:t>2.2.4  Information Content and Sequence Logos</w:t>
      </w:r>
    </w:p>
    <w:p>
      <w:pPr>
        <w:pStyle w:val="Normal"/>
        <w:spacing w:before="0" w:after="120"/>
        <w:jc w:val="both"/>
        <w:rPr/>
      </w:pPr>
      <w:r>
        <w:rPr>
          <w:rFonts w:eastAsia="Arial" w:cs="Arial"/>
          <w:color w:val="1A1A1A"/>
          <w:sz w:val="24"/>
          <w:szCs w:val="24"/>
        </w:rPr>
        <w:t>Information content (IC) at position i measures the conservation (deviation from uniformity):</w:t>
      </w:r>
    </w:p>
    <w:p>
      <w:pPr>
        <w:pStyle w:val="Normal"/>
        <w:spacing w:before="80" w:after="80"/>
        <w:jc w:val="center"/>
        <w:rPr/>
      </w:pPr>
      <w:r>
        <w:rPr>
          <w:rFonts w:eastAsia="Courier New" w:cs="Courier New" w:ascii="Courier New" w:hAnsi="Courier New"/>
          <w:color w:val="1E3A5F"/>
          <w:sz w:val="20"/>
          <w:szCs w:val="20"/>
        </w:rPr>
        <w:t>IC(i) = 2 + Σⱼ f[i][j] · log₂(f[i][j])</w:t>
      </w:r>
    </w:p>
    <w:p>
      <w:pPr>
        <w:pStyle w:val="Normal"/>
        <w:spacing w:before="0" w:after="120"/>
        <w:jc w:val="both"/>
        <w:rPr/>
      </w:pPr>
      <w:r>
        <w:rPr>
          <w:rFonts w:eastAsia="Arial" w:cs="Arial"/>
          <w:color w:val="1A1A1A"/>
          <w:sz w:val="24"/>
          <w:szCs w:val="24"/>
        </w:rPr>
        <w:t>where f[i][j] is the normalised frequency of nucleotide j at position i. IC ranges from 0 (uniform distribution) to 2 bits (one nucleotide exclusively). A sequence logo visualises the motif by drawing each nucleotide letter with height proportional to IC × f[i][j], stacked at each position. Total IC across all positions measures the overall specificity of the motif.</w:t>
      </w:r>
    </w:p>
    <w:p>
      <w:pPr>
        <w:pStyle w:val="Heading2"/>
        <w:spacing w:before="280" w:after="120"/>
        <w:rPr/>
      </w:pPr>
      <w:r>
        <w:rPr>
          <w:b/>
          <w:bCs/>
        </w:rPr>
        <w:t>2.3  The Motif Discovery Problem — Formal Definition</w:t>
      </w:r>
    </w:p>
    <w:p>
      <w:pPr>
        <w:pStyle w:val="Normal"/>
        <w:spacing w:before="0" w:after="120"/>
        <w:jc w:val="both"/>
        <w:rPr/>
      </w:pPr>
      <w:r>
        <w:rPr>
          <w:rFonts w:eastAsia="Arial" w:cs="Arial"/>
          <w:color w:val="1A1A1A"/>
          <w:sz w:val="24"/>
          <w:szCs w:val="24"/>
        </w:rPr>
        <w:t>Given a set of sequences S = {s₁, s₂, ..., sₙ} each of length L, and a motif width W, find a set of positions A = {a₁, a₂, ..., aₙ} (one per sequence) and a PWM M of width W such that the alignment defined by A maximises the log-likelihood:</w:t>
      </w:r>
    </w:p>
    <w:p>
      <w:pPr>
        <w:pStyle w:val="Normal"/>
        <w:spacing w:before="80" w:after="80"/>
        <w:jc w:val="center"/>
        <w:rPr/>
      </w:pPr>
      <w:r>
        <w:rPr>
          <w:rFonts w:eastAsia="Courier New" w:cs="Courier New" w:ascii="Courier New" w:hAnsi="Courier New"/>
          <w:color w:val="1E3A5F"/>
          <w:sz w:val="20"/>
          <w:szCs w:val="20"/>
        </w:rPr>
        <w:t>ℒ</w:t>
      </w:r>
      <w:r>
        <w:rPr>
          <w:rFonts w:eastAsia="Courier New" w:cs="Courier New" w:ascii="Courier New" w:hAnsi="Courier New"/>
          <w:color w:val="1E3A5F"/>
          <w:sz w:val="20"/>
          <w:szCs w:val="20"/>
        </w:rPr>
        <w:t>(A, M | S) = Σᵢ Σₚ log PWM[p][sᵢ[aᵢ + p]]</w:t>
      </w:r>
    </w:p>
    <w:p>
      <w:pPr>
        <w:pStyle w:val="Normal"/>
        <w:spacing w:before="0" w:after="120"/>
        <w:jc w:val="both"/>
        <w:rPr/>
      </w:pPr>
      <w:r>
        <w:rPr>
          <w:rFonts w:eastAsia="Arial" w:cs="Arial"/>
          <w:color w:val="1A1A1A"/>
          <w:sz w:val="24"/>
          <w:szCs w:val="24"/>
        </w:rPr>
        <w:t>This is an NP-hard combinatorial optimisation problem. Exhaustive search over all possible A is infeasible for realistic sequence lengths. MEME and Gibbs Sampling provide tractable approximations.</w:t>
      </w:r>
    </w:p>
    <w:p>
      <w:pPr>
        <w:pStyle w:val="Heading2"/>
        <w:spacing w:before="280" w:after="120"/>
        <w:rPr/>
      </w:pPr>
      <w:r>
        <w:rPr>
          <w:b/>
          <w:bCs/>
        </w:rPr>
        <w:t>2.4  MEME Algorithm</w:t>
      </w:r>
    </w:p>
    <w:p>
      <w:pPr>
        <w:pStyle w:val="Normal"/>
        <w:spacing w:before="0" w:after="120"/>
        <w:jc w:val="both"/>
        <w:rPr/>
      </w:pPr>
      <w:r>
        <w:rPr>
          <w:rFonts w:eastAsia="Arial" w:cs="Arial"/>
          <w:color w:val="1A1A1A"/>
          <w:sz w:val="24"/>
          <w:szCs w:val="24"/>
        </w:rPr>
        <w:t>MEME (Bailey &amp; Elkan, 1994) treats motif discovery as a mixture model problem and applies the Expectation-Maximisation (EM) algorithm. The mixture model assumes each position in each sequence is generated either by the motif model or by the background model.</w:t>
      </w:r>
    </w:p>
    <w:p>
      <w:pPr>
        <w:pStyle w:val="Heading3"/>
        <w:spacing w:before="200" w:after="80"/>
        <w:rPr/>
      </w:pPr>
      <w:r>
        <w:rPr>
          <w:b/>
          <w:bCs/>
        </w:rPr>
        <w:t>2.4.1  The ZOOPS Model</w:t>
      </w:r>
    </w:p>
    <w:p>
      <w:pPr>
        <w:pStyle w:val="Normal"/>
        <w:spacing w:before="0" w:after="120"/>
        <w:jc w:val="both"/>
        <w:rPr/>
      </w:pPr>
      <w:r>
        <w:rPr>
          <w:rFonts w:eastAsia="Arial" w:cs="Arial"/>
          <w:color w:val="1A1A1A"/>
          <w:sz w:val="24"/>
          <w:szCs w:val="24"/>
        </w:rPr>
        <w:t>Under the Zero or One Occurrence Per Sequence (ZOOPS) model, each sequence either contains exactly one occurrence of the motif (with probability λ) or contains only background (with probability 1−λ). The complete-data log-likelihood is:</w:t>
      </w:r>
    </w:p>
    <w:p>
      <w:pPr>
        <w:pStyle w:val="Normal"/>
        <w:spacing w:before="60" w:after="80"/>
        <w:jc w:val="center"/>
        <w:rPr/>
      </w:pPr>
      <w:r>
        <w:rPr>
          <w:rFonts w:eastAsia="Courier New" w:cs="Courier New" w:ascii="Courier New" w:hAnsi="Courier New"/>
          <w:color w:val="1E3A5F"/>
          <w:sz w:val="20"/>
          <w:szCs w:val="20"/>
        </w:rPr>
        <w:t xml:space="preserve">ℒ </w:t>
      </w:r>
      <w:r>
        <w:rPr>
          <w:rFonts w:eastAsia="Courier New" w:cs="Courier New" w:ascii="Courier New" w:hAnsi="Courier New"/>
          <w:color w:val="1E3A5F"/>
          <w:sz w:val="20"/>
          <w:szCs w:val="20"/>
        </w:rPr>
        <w:t>= Σᵢ Σⱼ zᵢⱼ · log P(sᵢ[j..j+W-1] | M) + (1−Σⱼ zᵢⱼ) · log P(background)</w:t>
      </w:r>
    </w:p>
    <w:p>
      <w:pPr>
        <w:pStyle w:val="Heading3"/>
        <w:spacing w:before="200" w:after="80"/>
        <w:rPr/>
      </w:pPr>
      <w:r>
        <w:rPr>
          <w:b/>
          <w:bCs/>
        </w:rPr>
        <w:t>2.4.2  E-Step</w:t>
      </w:r>
    </w:p>
    <w:p>
      <w:pPr>
        <w:pStyle w:val="Normal"/>
        <w:spacing w:before="0" w:after="120"/>
        <w:jc w:val="both"/>
        <w:rPr/>
      </w:pPr>
      <w:r>
        <w:rPr>
          <w:rFonts w:eastAsia="Arial" w:cs="Arial"/>
          <w:color w:val="1A1A1A"/>
          <w:sz w:val="24"/>
          <w:szCs w:val="24"/>
        </w:rPr>
        <w:t>In the E-step, the posterior probability that the motif starts at position j in sequence i is computed:</w:t>
      </w:r>
    </w:p>
    <w:p>
      <w:pPr>
        <w:pStyle w:val="Normal"/>
        <w:spacing w:before="60" w:after="80"/>
        <w:jc w:val="center"/>
        <w:rPr/>
      </w:pPr>
      <w:r>
        <w:rPr>
          <w:rFonts w:eastAsia="Courier New" w:cs="Courier New" w:ascii="Courier New" w:hAnsi="Courier New"/>
          <w:color w:val="1E3A5F"/>
          <w:sz w:val="20"/>
          <w:szCs w:val="20"/>
        </w:rPr>
        <w:t>zᵢⱼ = P(motif at j | sᵢ, M) ∝ exp( Σₚ log PWM[p][sᵢ[j+p]] − log b[sᵢ[j+p]] )</w:t>
      </w:r>
    </w:p>
    <w:p>
      <w:pPr>
        <w:pStyle w:val="Normal"/>
        <w:spacing w:before="0" w:after="120"/>
        <w:jc w:val="both"/>
        <w:rPr/>
      </w:pPr>
      <w:r>
        <w:rPr>
          <w:rFonts w:eastAsia="Arial" w:cs="Arial"/>
          <w:color w:val="1A1A1A"/>
          <w:sz w:val="24"/>
          <w:szCs w:val="24"/>
        </w:rPr>
        <w:t>These probabilities are normalised across all positions in the sequence under ZOOPS: the sum Σⱼ zᵢⱼ = λ (the prior probability of motif occurrence).</w:t>
      </w:r>
    </w:p>
    <w:p>
      <w:pPr>
        <w:pStyle w:val="Heading3"/>
        <w:spacing w:before="200" w:after="80"/>
        <w:rPr/>
      </w:pPr>
      <w:r>
        <w:rPr>
          <w:b/>
          <w:bCs/>
        </w:rPr>
        <w:t>2.4.3  M-Step</w:t>
      </w:r>
    </w:p>
    <w:p>
      <w:pPr>
        <w:pStyle w:val="Normal"/>
        <w:spacing w:before="0" w:after="120"/>
        <w:jc w:val="both"/>
        <w:rPr/>
      </w:pPr>
      <w:r>
        <w:rPr>
          <w:rFonts w:eastAsia="Arial" w:cs="Arial"/>
          <w:color w:val="1A1A1A"/>
          <w:sz w:val="24"/>
          <w:szCs w:val="24"/>
        </w:rPr>
        <w:t>In the M-step, the PWM is updated using the fractional counts weighted by the posterior probabilities:</w:t>
      </w:r>
    </w:p>
    <w:p>
      <w:pPr>
        <w:pStyle w:val="Normal"/>
        <w:spacing w:before="60" w:after="80"/>
        <w:jc w:val="center"/>
        <w:rPr/>
      </w:pPr>
      <w:r>
        <w:rPr>
          <w:rFonts w:eastAsia="Courier New" w:cs="Courier New" w:ascii="Courier New" w:hAnsi="Courier New"/>
          <w:color w:val="1E3A5F"/>
          <w:sz w:val="20"/>
          <w:szCs w:val="20"/>
        </w:rPr>
        <w:t>counts[p][j] = Σᵢ Σₖ zᵢₖ · 1[sᵢ[k+p] = j]</w:t>
      </w:r>
    </w:p>
    <w:p>
      <w:pPr>
        <w:pStyle w:val="Normal"/>
        <w:spacing w:before="0" w:after="120"/>
        <w:jc w:val="both"/>
        <w:rPr/>
      </w:pPr>
      <w:r>
        <w:rPr>
          <w:rFonts w:eastAsia="Arial" w:cs="Arial"/>
          <w:color w:val="1A1A1A"/>
          <w:sz w:val="24"/>
          <w:szCs w:val="24"/>
        </w:rPr>
        <w:t>The updated PWM is normalised with pseudocount smoothing. The E and M steps are iterated until the log-likelihood converges (change &lt; 10⁻⁶).</w:t>
      </w:r>
    </w:p>
    <w:p>
      <w:pPr>
        <w:pStyle w:val="Heading3"/>
        <w:spacing w:before="200" w:after="80"/>
        <w:rPr/>
      </w:pPr>
      <w:r>
        <w:rPr>
          <w:b/>
          <w:bCs/>
        </w:rPr>
        <w:t>2.4.4  Multi-Motif Discovery</w:t>
      </w:r>
    </w:p>
    <w:p>
      <w:pPr>
        <w:pStyle w:val="Normal"/>
        <w:spacing w:before="0" w:after="120"/>
        <w:jc w:val="both"/>
        <w:rPr/>
      </w:pPr>
      <w:r>
        <w:rPr>
          <w:rFonts w:eastAsia="Arial" w:cs="Arial"/>
          <w:color w:val="1A1A1A"/>
          <w:sz w:val="24"/>
          <w:szCs w:val="24"/>
        </w:rPr>
        <w:t>After converging on the first motif, MEME erases the best-scoring instance in each sequence (replaces with 'N' characters) and re-runs the EM procedure to find a second motif — and so on for each additional motif requested. This sequential erasing strategy prevents the same motif from being re-discovered.</w:t>
      </w:r>
    </w:p>
    <w:p>
      <w:pPr>
        <w:pStyle w:val="Heading3"/>
        <w:spacing w:before="200" w:after="80"/>
        <w:rPr/>
      </w:pPr>
      <w:r>
        <w:rPr>
          <w:b/>
          <w:bCs/>
        </w:rPr>
        <w:t>2.4.5  E-Value</w:t>
      </w:r>
    </w:p>
    <w:p>
      <w:pPr>
        <w:pStyle w:val="Normal"/>
        <w:spacing w:before="0" w:after="120"/>
        <w:jc w:val="both"/>
        <w:rPr/>
      </w:pPr>
      <w:r>
        <w:rPr>
          <w:rFonts w:eastAsia="Arial" w:cs="Arial"/>
          <w:color w:val="1A1A1A"/>
          <w:sz w:val="24"/>
          <w:szCs w:val="24"/>
        </w:rPr>
        <w:t>MEME reports an E-value: the expected number of motifs with the given score or better that would arise in a database of random sequences. Lower E-values indicate higher statistical significance. The implementation uses a simplified E-value approximation based on the binomial distribution.</w:t>
      </w:r>
    </w:p>
    <w:p>
      <w:pPr>
        <w:pStyle w:val="Heading2"/>
        <w:spacing w:before="280" w:after="120"/>
        <w:rPr/>
      </w:pPr>
      <w:r>
        <w:rPr>
          <w:b/>
          <w:bCs/>
        </w:rPr>
        <w:t>2.5  Gibbs Sampling Algorithm</w:t>
      </w:r>
    </w:p>
    <w:p>
      <w:pPr>
        <w:pStyle w:val="Normal"/>
        <w:spacing w:before="0" w:after="120"/>
        <w:jc w:val="both"/>
        <w:rPr/>
      </w:pPr>
      <w:r>
        <w:rPr>
          <w:rFonts w:eastAsia="Arial" w:cs="Arial"/>
          <w:color w:val="1A1A1A"/>
          <w:sz w:val="24"/>
          <w:szCs w:val="24"/>
        </w:rPr>
        <w:t>Gibbs Sampling (Lawrence et al., 1993) is a Markov Chain Monte Carlo approach. Rather than computing expected values (as in EM), it samples a configuration from the posterior distribution — making it better at escaping local optima.</w:t>
      </w:r>
    </w:p>
    <w:p>
      <w:pPr>
        <w:pStyle w:val="Heading3"/>
        <w:spacing w:before="200" w:after="80"/>
        <w:rPr/>
      </w:pPr>
      <w:r>
        <w:rPr>
          <w:b/>
          <w:bCs/>
        </w:rPr>
        <w:t>2.5.1  Initialisation</w:t>
      </w:r>
    </w:p>
    <w:p>
      <w:pPr>
        <w:pStyle w:val="Normal"/>
        <w:spacing w:before="0" w:after="120"/>
        <w:jc w:val="both"/>
        <w:rPr/>
      </w:pPr>
      <w:r>
        <w:rPr>
          <w:rFonts w:eastAsia="Arial" w:cs="Arial"/>
          <w:color w:val="1A1A1A"/>
          <w:sz w:val="24"/>
          <w:szCs w:val="24"/>
        </w:rPr>
        <w:t>Each sequence sᵢ is assigned a random start position aᵢ ∈ {0, 1, ..., Lᵢ−W}. This defines an initial alignment.</w:t>
      </w:r>
    </w:p>
    <w:p>
      <w:pPr>
        <w:pStyle w:val="Heading3"/>
        <w:spacing w:before="200" w:after="80"/>
        <w:rPr/>
      </w:pPr>
      <w:r>
        <w:rPr>
          <w:b/>
          <w:bCs/>
        </w:rPr>
        <w:t>2.5.2  Predictive Update (Leave-One-Out)</w:t>
      </w:r>
    </w:p>
    <w:p>
      <w:pPr>
        <w:pStyle w:val="Normal"/>
        <w:spacing w:before="0" w:after="120"/>
        <w:jc w:val="both"/>
        <w:rPr/>
      </w:pPr>
      <w:r>
        <w:rPr>
          <w:rFonts w:eastAsia="Arial" w:cs="Arial"/>
          <w:color w:val="1A1A1A"/>
          <w:sz w:val="24"/>
          <w:szCs w:val="24"/>
        </w:rPr>
        <w:t>In each iteration, one sequence sₖ is selected (in practice, all sequences are cycled through in random order). The motif model M is re-estimated from all other sequences {sᵢ : i ≠ k} using their current positions. This ensures M is independent of sₖ's contribution, enabling proper Bayesian sampling.</w:t>
      </w:r>
    </w:p>
    <w:p>
      <w:pPr>
        <w:pStyle w:val="Heading3"/>
        <w:spacing w:before="200" w:after="80"/>
        <w:rPr/>
      </w:pPr>
      <w:r>
        <w:rPr>
          <w:b/>
          <w:bCs/>
        </w:rPr>
        <w:t>2.5.3  Probabilistic Sampling</w:t>
      </w:r>
    </w:p>
    <w:p>
      <w:pPr>
        <w:pStyle w:val="Normal"/>
        <w:spacing w:before="0" w:after="120"/>
        <w:jc w:val="both"/>
        <w:rPr/>
      </w:pPr>
      <w:r>
        <w:rPr>
          <w:rFonts w:eastAsia="Arial" w:cs="Arial"/>
          <w:color w:val="1A1A1A"/>
          <w:sz w:val="24"/>
          <w:szCs w:val="24"/>
        </w:rPr>
        <w:t>Every window of width W in the held-out sequence sₖ is scored against the updated model M. The scores are converted to a probability distribution via softmax:</w:t>
      </w:r>
    </w:p>
    <w:p>
      <w:pPr>
        <w:pStyle w:val="Normal"/>
        <w:spacing w:before="60" w:after="80"/>
        <w:jc w:val="center"/>
        <w:rPr/>
      </w:pPr>
      <w:r>
        <w:rPr>
          <w:rFonts w:eastAsia="Courier New" w:cs="Courier New" w:ascii="Courier New" w:hAnsi="Courier New"/>
          <w:color w:val="1E3A5F"/>
          <w:sz w:val="20"/>
          <w:szCs w:val="20"/>
        </w:rPr>
        <w:t>P(aₖ = j) ∝ exp( Σₚ log PWM[p][sₖ[j+p]] − log b[sₖ[j+p]] )</w:t>
      </w:r>
    </w:p>
    <w:p>
      <w:pPr>
        <w:pStyle w:val="Normal"/>
        <w:spacing w:before="0" w:after="120"/>
        <w:jc w:val="both"/>
        <w:rPr/>
      </w:pPr>
      <w:r>
        <w:rPr>
          <w:rFonts w:eastAsia="Arial" w:cs="Arial"/>
          <w:color w:val="1A1A1A"/>
          <w:sz w:val="24"/>
          <w:szCs w:val="24"/>
        </w:rPr>
        <w:t>A new position aₖ is sampled from this distribution. The stochastic nature allows the sampler to escape local optima that would trap deterministic EM.</w:t>
      </w:r>
    </w:p>
    <w:p>
      <w:pPr>
        <w:pStyle w:val="Heading3"/>
        <w:spacing w:before="200" w:after="80"/>
        <w:rPr/>
      </w:pPr>
      <w:r>
        <w:rPr>
          <w:b/>
          <w:bCs/>
        </w:rPr>
        <w:t>2.5.4  Multi-Start Strategy</w:t>
      </w:r>
    </w:p>
    <w:p>
      <w:pPr>
        <w:pStyle w:val="Normal"/>
        <w:spacing w:before="0" w:after="120"/>
        <w:jc w:val="both"/>
        <w:rPr/>
      </w:pPr>
      <w:r>
        <w:rPr>
          <w:rFonts w:eastAsia="Arial" w:cs="Arial"/>
          <w:color w:val="1A1A1A"/>
          <w:sz w:val="24"/>
          <w:szCs w:val="24"/>
        </w:rPr>
        <w:t>Because Gibbs Sampling depends on its starting state, the algorithm is run multiple times (n_runs = 3–5 in this project) with different random initialisations. The run that achieves the highest alignment score is retained as the final result. The alignment score is the total log-odds of all aligned k-mers against the background.</w:t>
      </w:r>
    </w:p>
    <w:p>
      <w:pPr>
        <w:pStyle w:val="Heading2"/>
        <w:spacing w:before="280" w:after="120"/>
        <w:rPr/>
      </w:pPr>
      <w:r>
        <w:rPr>
          <w:b/>
          <w:bCs/>
        </w:rPr>
        <w:t>2.6  Evaluation Metrics</w:t>
      </w:r>
    </w:p>
    <w:p>
      <w:pPr>
        <w:pStyle w:val="Normal"/>
        <w:spacing w:before="0" w:after="120"/>
        <w:jc w:val="both"/>
        <w:rPr/>
      </w:pPr>
      <w:r>
        <w:rPr>
          <w:rFonts w:eastAsia="Arial" w:cs="Arial"/>
          <w:color w:val="1A1A1A"/>
          <w:sz w:val="24"/>
          <w:szCs w:val="24"/>
        </w:rPr>
        <w:t>When the true motif positions are known (synthetic benchmarks), performance is measured by:</w:t>
      </w:r>
    </w:p>
    <w:p>
      <w:pPr>
        <w:pStyle w:val="ListParagraph"/>
        <w:numPr>
          <w:ilvl w:val="0"/>
          <w:numId w:val="84"/>
        </w:numPr>
        <w:spacing w:before="0" w:after="60"/>
        <w:rPr/>
      </w:pPr>
      <w:r>
        <w:rPr>
          <w:rFonts w:eastAsia="Arial" w:cs="Arial"/>
          <w:color w:val="1A1A1A"/>
          <w:sz w:val="24"/>
          <w:szCs w:val="24"/>
        </w:rPr>
        <w:t>Sensitivity (Sn): proportion of true nucleotide positions correctly predicted — TP/(TP+FN).</w:t>
      </w:r>
    </w:p>
    <w:p>
      <w:pPr>
        <w:pStyle w:val="ListParagraph"/>
        <w:numPr>
          <w:ilvl w:val="0"/>
          <w:numId w:val="85"/>
        </w:numPr>
        <w:spacing w:before="0" w:after="60"/>
        <w:rPr/>
      </w:pPr>
      <w:r>
        <w:rPr>
          <w:rFonts w:eastAsia="Arial" w:cs="Arial"/>
          <w:color w:val="1A1A1A"/>
          <w:sz w:val="24"/>
          <w:szCs w:val="24"/>
        </w:rPr>
        <w:t>Positive Predictive Value (PPV): proportion of predicted positions that are correct — TP/(TP+FP).</w:t>
      </w:r>
    </w:p>
    <w:p>
      <w:pPr>
        <w:pStyle w:val="ListParagraph"/>
        <w:numPr>
          <w:ilvl w:val="0"/>
          <w:numId w:val="86"/>
        </w:numPr>
        <w:spacing w:before="0" w:after="60"/>
        <w:rPr/>
      </w:pPr>
      <w:r>
        <w:rPr>
          <w:rFonts w:eastAsia="Arial" w:cs="Arial"/>
          <w:color w:val="1A1A1A"/>
          <w:sz w:val="24"/>
          <w:szCs w:val="24"/>
        </w:rPr>
        <w:t>F1 Score: harmonic mean of Sn and PPV — 2·Sn·PPV/(Sn+PPV).</w:t>
      </w:r>
    </w:p>
    <w:p>
      <w:pPr>
        <w:pStyle w:val="ListParagraph"/>
        <w:numPr>
          <w:ilvl w:val="0"/>
          <w:numId w:val="87"/>
        </w:numPr>
        <w:spacing w:before="0" w:after="60"/>
        <w:rPr/>
      </w:pPr>
      <w:r>
        <w:rPr>
          <w:rFonts w:eastAsia="Arial" w:cs="Arial"/>
          <w:color w:val="1A1A1A"/>
          <w:sz w:val="24"/>
          <w:szCs w:val="24"/>
        </w:rPr>
        <w:t>Nucleotide Correlation Coefficient (nCC): geometric mean of site-level sensitivity and PPV, measuring overlap at nucleotide resolution.</w:t>
      </w:r>
    </w:p>
    <w:p>
      <w:pPr>
        <w:pStyle w:val="ListParagraph"/>
        <w:numPr>
          <w:ilvl w:val="0"/>
          <w:numId w:val="88"/>
        </w:numPr>
        <w:spacing w:before="0" w:after="60"/>
        <w:rPr/>
      </w:pPr>
      <w:r>
        <w:rPr>
          <w:rFonts w:eastAsia="Arial" w:cs="Arial"/>
          <w:color w:val="1A1A1A"/>
          <w:sz w:val="24"/>
          <w:szCs w:val="24"/>
        </w:rPr>
        <w:t>Site Accuracy: fraction of sequences where the predicted site overlaps the true site by at least 50% of the motif width.</w:t>
      </w:r>
    </w:p>
    <w:p>
      <w:pPr>
        <w:pStyle w:val="Normal"/>
        <w:spacing w:before="0" w:after="120"/>
        <w:jc w:val="both"/>
        <w:rPr/>
      </w:pPr>
      <w:r>
        <w:rPr>
          <w:rFonts w:eastAsia="Arial" w:cs="Arial"/>
          <w:color w:val="1A1A1A"/>
          <w:sz w:val="24"/>
          <w:szCs w:val="24"/>
        </w:rPr>
        <w:t>For real datasets where ground truth is unavailable, performance is assessed by information content (IC) and E-value of the discovered motif, and qualitative comparison against published known motifs.</w:t>
      </w:r>
    </w:p>
    <w:p>
      <w:pPr>
        <w:pStyle w:val="Normal"/>
        <w:spacing w:before="0" w:after="0"/>
        <w:rPr/>
      </w:pPr>
      <w:r>
        <w:rPr/>
      </w:r>
      <w:r>
        <w:br w:type="page"/>
      </w:r>
    </w:p>
    <w:p>
      <w:pPr>
        <w:pStyle w:val="Heading1"/>
        <w:spacing w:before="360" w:after="180"/>
        <w:rPr/>
      </w:pPr>
      <w:r>
        <w:rPr>
          <w:b/>
          <w:bCs/>
        </w:rPr>
        <w:t>Chapter 3: Datasets</w:t>
      </w:r>
    </w:p>
    <w:p>
      <w:pPr>
        <w:pStyle w:val="Normal"/>
        <w:pBdr>
          <w:bottom w:val="single" w:sz="6" w:space="1" w:color="1E3A5F"/>
        </w:pBdr>
        <w:spacing w:before="0" w:after="120"/>
        <w:rPr/>
      </w:pPr>
      <w:r>
        <w:rPr/>
      </w:r>
    </w:p>
    <w:p>
      <w:pPr>
        <w:pStyle w:val="Heading2"/>
        <w:spacing w:before="280" w:after="120"/>
        <w:rPr/>
      </w:pPr>
      <w:r>
        <w:rPr>
          <w:b/>
          <w:bCs/>
        </w:rPr>
        <w:t>3.1  Real Biological Datasets — JASPAR CORE</w:t>
      </w:r>
    </w:p>
    <w:p>
      <w:pPr>
        <w:pStyle w:val="Normal"/>
        <w:spacing w:before="0" w:after="120"/>
        <w:jc w:val="both"/>
        <w:rPr/>
      </w:pPr>
      <w:r>
        <w:rPr>
          <w:rFonts w:eastAsia="Arial" w:cs="Arial"/>
          <w:color w:val="1A1A1A"/>
          <w:sz w:val="24"/>
          <w:szCs w:val="24"/>
        </w:rPr>
        <w:t>All real biological datasets were obtained from the JASPAR CORE database (Castro-Mondragon et al., 2022) via its RESTful API (https://jaspar.elixir.no/api/v1/). JASPAR is the world's largest open-access repository of curated transcription factor binding profiles, maintained by a consortium of bioinformatics groups. Each matrix in JASPAR is derived from an experimental assay — SELEX (Systematic Evolution of Ligands by EXponential enrichment), PBM (Protein Binding Microarray), ChIP-seq (Chromatin Immunoprecipitation sequencing), HT-SELEX (High-Throughput SELEX), or DAP-seq (DNA Affinity Purification sequencing).</w:t>
      </w:r>
    </w:p>
    <w:p>
      <w:pPr>
        <w:pStyle w:val="Normal"/>
        <w:spacing w:before="0" w:after="120"/>
        <w:jc w:val="both"/>
        <w:rPr/>
      </w:pPr>
      <w:r>
        <w:rPr>
          <w:rFonts w:eastAsia="Arial" w:cs="Arial"/>
          <w:color w:val="1A1A1A"/>
          <w:sz w:val="24"/>
          <w:szCs w:val="24"/>
        </w:rPr>
        <w:t>Twenty-two matrices were fetched in this project, spanning four organisms (Homo sapiens, Saccharomyces cerevisiae, Arabidopsis thaliana, Zea mays) and five experiment types. For each matrix, 30 binding-site sequences were generated by probabilistic sampling from the Position Frequency Matrix — a standard procedure for testing motif discovery algorithms.</w:t>
      </w:r>
    </w:p>
    <w:p>
      <w:pPr>
        <w:pStyle w:val="Normal"/>
        <w:spacing w:before="0" w:after="80"/>
        <w:rPr/>
      </w:pPr>
      <w:r>
        <w:rPr/>
      </w:r>
    </w:p>
    <w:tbl>
      <w:tblPr>
        <w:tblW w:w="9360" w:type="dxa"/>
        <w:jc w:val="left"/>
        <w:tblInd w:w="0" w:type="dxa"/>
        <w:tblLayout w:type="fixed"/>
        <w:tblCellMar>
          <w:top w:w="80" w:type="dxa"/>
          <w:left w:w="120" w:type="dxa"/>
          <w:bottom w:w="80" w:type="dxa"/>
          <w:right w:w="120" w:type="dxa"/>
        </w:tblCellMar>
      </w:tblPr>
      <w:tblGrid>
        <w:gridCol w:w="1300"/>
        <w:gridCol w:w="1200"/>
        <w:gridCol w:w="1699"/>
        <w:gridCol w:w="1402"/>
        <w:gridCol w:w="1199"/>
        <w:gridCol w:w="2559"/>
      </w:tblGrid>
      <w:tr>
        <w:trPr>
          <w:tblHeader w:val="true"/>
        </w:trPr>
        <w:tc>
          <w:tcPr>
            <w:tcW w:w="1300" w:type="dxa"/>
            <w:tcBorders>
              <w:top w:val="single" w:sz="4" w:space="0" w:color="1E3A5F"/>
              <w:left w:val="single" w:sz="4" w:space="0" w:color="1E3A5F"/>
              <w:bottom w:val="single" w:sz="4" w:space="0" w:color="1E3A5F"/>
              <w:right w:val="single" w:sz="4" w:space="0" w:color="1E3A5F"/>
            </w:tcBorders>
            <w:shd w:fill="1E3A5F" w:val="clear"/>
            <w:vAlign w:val="center"/>
          </w:tcPr>
          <w:p>
            <w:pPr>
              <w:pStyle w:val="Normal"/>
              <w:widowControl w:val="false"/>
              <w:jc w:val="center"/>
              <w:rPr/>
            </w:pPr>
            <w:r>
              <w:rPr>
                <w:rFonts w:eastAsia="Arial" w:cs="Arial"/>
                <w:b/>
                <w:bCs/>
                <w:color w:val="FFFFFF"/>
                <w:sz w:val="20"/>
                <w:szCs w:val="20"/>
              </w:rPr>
              <w:t>Matrix ID</w:t>
            </w:r>
          </w:p>
        </w:tc>
        <w:tc>
          <w:tcPr>
            <w:tcW w:w="1200" w:type="dxa"/>
            <w:tcBorders>
              <w:top w:val="single" w:sz="4" w:space="0" w:color="1E3A5F"/>
              <w:left w:val="single" w:sz="4" w:space="0" w:color="1E3A5F"/>
              <w:bottom w:val="single" w:sz="4" w:space="0" w:color="1E3A5F"/>
              <w:right w:val="single" w:sz="4" w:space="0" w:color="1E3A5F"/>
            </w:tcBorders>
            <w:shd w:fill="1E3A5F" w:val="clear"/>
            <w:vAlign w:val="center"/>
          </w:tcPr>
          <w:p>
            <w:pPr>
              <w:pStyle w:val="Normal"/>
              <w:widowControl w:val="false"/>
              <w:jc w:val="center"/>
              <w:rPr/>
            </w:pPr>
            <w:r>
              <w:rPr>
                <w:rFonts w:eastAsia="Arial" w:cs="Arial"/>
                <w:b/>
                <w:bCs/>
                <w:color w:val="FFFFFF"/>
                <w:sz w:val="20"/>
                <w:szCs w:val="20"/>
              </w:rPr>
              <w:t>TF Name</w:t>
            </w:r>
          </w:p>
        </w:tc>
        <w:tc>
          <w:tcPr>
            <w:tcW w:w="1699" w:type="dxa"/>
            <w:tcBorders>
              <w:top w:val="single" w:sz="4" w:space="0" w:color="1E3A5F"/>
              <w:left w:val="single" w:sz="4" w:space="0" w:color="1E3A5F"/>
              <w:bottom w:val="single" w:sz="4" w:space="0" w:color="1E3A5F"/>
              <w:right w:val="single" w:sz="4" w:space="0" w:color="1E3A5F"/>
            </w:tcBorders>
            <w:shd w:fill="1E3A5F" w:val="clear"/>
            <w:vAlign w:val="center"/>
          </w:tcPr>
          <w:p>
            <w:pPr>
              <w:pStyle w:val="Normal"/>
              <w:widowControl w:val="false"/>
              <w:jc w:val="center"/>
              <w:rPr/>
            </w:pPr>
            <w:r>
              <w:rPr>
                <w:rFonts w:eastAsia="Arial" w:cs="Arial"/>
                <w:b/>
                <w:bCs/>
                <w:color w:val="FFFFFF"/>
                <w:sz w:val="20"/>
                <w:szCs w:val="20"/>
              </w:rPr>
              <w:t>Organism</w:t>
            </w:r>
          </w:p>
        </w:tc>
        <w:tc>
          <w:tcPr>
            <w:tcW w:w="1402" w:type="dxa"/>
            <w:tcBorders>
              <w:top w:val="single" w:sz="4" w:space="0" w:color="1E3A5F"/>
              <w:left w:val="single" w:sz="4" w:space="0" w:color="1E3A5F"/>
              <w:bottom w:val="single" w:sz="4" w:space="0" w:color="1E3A5F"/>
              <w:right w:val="single" w:sz="4" w:space="0" w:color="1E3A5F"/>
            </w:tcBorders>
            <w:shd w:fill="1E3A5F" w:val="clear"/>
            <w:vAlign w:val="center"/>
          </w:tcPr>
          <w:p>
            <w:pPr>
              <w:pStyle w:val="Normal"/>
              <w:widowControl w:val="false"/>
              <w:jc w:val="center"/>
              <w:rPr/>
            </w:pPr>
            <w:r>
              <w:rPr>
                <w:rFonts w:eastAsia="Arial" w:cs="Arial"/>
                <w:b/>
                <w:bCs/>
                <w:color w:val="FFFFFF"/>
                <w:sz w:val="20"/>
                <w:szCs w:val="20"/>
              </w:rPr>
              <w:t>Experiment</w:t>
            </w:r>
          </w:p>
        </w:tc>
        <w:tc>
          <w:tcPr>
            <w:tcW w:w="1199" w:type="dxa"/>
            <w:tcBorders>
              <w:top w:val="single" w:sz="4" w:space="0" w:color="1E3A5F"/>
              <w:left w:val="single" w:sz="4" w:space="0" w:color="1E3A5F"/>
              <w:bottom w:val="single" w:sz="4" w:space="0" w:color="1E3A5F"/>
              <w:right w:val="single" w:sz="4" w:space="0" w:color="1E3A5F"/>
            </w:tcBorders>
            <w:shd w:fill="1E3A5F" w:val="clear"/>
            <w:vAlign w:val="center"/>
          </w:tcPr>
          <w:p>
            <w:pPr>
              <w:pStyle w:val="Normal"/>
              <w:widowControl w:val="false"/>
              <w:jc w:val="center"/>
              <w:rPr/>
            </w:pPr>
            <w:r>
              <w:rPr>
                <w:rFonts w:eastAsia="Arial" w:cs="Arial"/>
                <w:b/>
                <w:bCs/>
                <w:color w:val="FFFFFF"/>
                <w:sz w:val="20"/>
                <w:szCs w:val="20"/>
              </w:rPr>
              <w:t>PubMed</w:t>
            </w:r>
          </w:p>
        </w:tc>
        <w:tc>
          <w:tcPr>
            <w:tcW w:w="2559" w:type="dxa"/>
            <w:tcBorders>
              <w:top w:val="single" w:sz="4" w:space="0" w:color="1E3A5F"/>
              <w:left w:val="single" w:sz="4" w:space="0" w:color="1E3A5F"/>
              <w:bottom w:val="single" w:sz="4" w:space="0" w:color="1E3A5F"/>
              <w:right w:val="single" w:sz="4" w:space="0" w:color="1E3A5F"/>
            </w:tcBorders>
            <w:shd w:fill="1E3A5F" w:val="clear"/>
            <w:vAlign w:val="center"/>
          </w:tcPr>
          <w:p>
            <w:pPr>
              <w:pStyle w:val="Normal"/>
              <w:widowControl w:val="false"/>
              <w:jc w:val="center"/>
              <w:rPr/>
            </w:pPr>
            <w:r>
              <w:rPr>
                <w:rFonts w:eastAsia="Arial" w:cs="Arial"/>
                <w:b/>
                <w:bCs/>
                <w:color w:val="FFFFFF"/>
                <w:sz w:val="20"/>
                <w:szCs w:val="20"/>
              </w:rPr>
              <w:t>Consensus</w:t>
            </w:r>
          </w:p>
        </w:tc>
      </w:tr>
      <w:tr>
        <w:trPr/>
        <w:tc>
          <w:tcPr>
            <w:tcW w:w="1300" w:type="dxa"/>
            <w:tcBorders>
              <w:top w:val="single" w:sz="4" w:space="0" w:color="CCCCCC"/>
              <w:left w:val="single" w:sz="4" w:space="0" w:color="CCCCCC"/>
              <w:bottom w:val="single" w:sz="4" w:space="0" w:color="CCCCCC"/>
              <w:right w:val="single" w:sz="4" w:space="0" w:color="CCCCCC"/>
            </w:tcBorders>
            <w:shd w:fill="F0F4F8"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MA0139.2</w:t>
            </w:r>
          </w:p>
        </w:tc>
        <w:tc>
          <w:tcPr>
            <w:tcW w:w="1200" w:type="dxa"/>
            <w:tcBorders>
              <w:top w:val="single" w:sz="4" w:space="0" w:color="CCCCCC"/>
              <w:left w:val="single" w:sz="4" w:space="0" w:color="CCCCCC"/>
              <w:bottom w:val="single" w:sz="4" w:space="0" w:color="CCCCCC"/>
              <w:right w:val="single" w:sz="4" w:space="0" w:color="CCCCCC"/>
            </w:tcBorders>
            <w:shd w:fill="F0F4F8"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CTCF</w:t>
            </w:r>
          </w:p>
        </w:tc>
        <w:tc>
          <w:tcPr>
            <w:tcW w:w="1699" w:type="dxa"/>
            <w:tcBorders>
              <w:top w:val="single" w:sz="4" w:space="0" w:color="CCCCCC"/>
              <w:left w:val="single" w:sz="4" w:space="0" w:color="CCCCCC"/>
              <w:bottom w:val="single" w:sz="4" w:space="0" w:color="CCCCCC"/>
              <w:right w:val="single" w:sz="4" w:space="0" w:color="CCCCCC"/>
            </w:tcBorders>
            <w:shd w:fill="F0F4F8"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Homo sapiens</w:t>
            </w:r>
          </w:p>
        </w:tc>
        <w:tc>
          <w:tcPr>
            <w:tcW w:w="1402" w:type="dxa"/>
            <w:tcBorders>
              <w:top w:val="single" w:sz="4" w:space="0" w:color="CCCCCC"/>
              <w:left w:val="single" w:sz="4" w:space="0" w:color="CCCCCC"/>
              <w:bottom w:val="single" w:sz="4" w:space="0" w:color="CCCCCC"/>
              <w:right w:val="single" w:sz="4" w:space="0" w:color="CCCCCC"/>
            </w:tcBorders>
            <w:shd w:fill="F0F4F8"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ChIP-seq</w:t>
            </w:r>
          </w:p>
        </w:tc>
        <w:tc>
          <w:tcPr>
            <w:tcW w:w="1199" w:type="dxa"/>
            <w:tcBorders>
              <w:top w:val="single" w:sz="4" w:space="0" w:color="CCCCCC"/>
              <w:left w:val="single" w:sz="4" w:space="0" w:color="CCCCCC"/>
              <w:bottom w:val="single" w:sz="4" w:space="0" w:color="CCCCCC"/>
              <w:right w:val="single" w:sz="4" w:space="0" w:color="CCCCCC"/>
            </w:tcBorders>
            <w:shd w:fill="F0F4F8"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21106759</w:t>
            </w:r>
          </w:p>
        </w:tc>
        <w:tc>
          <w:tcPr>
            <w:tcW w:w="2559" w:type="dxa"/>
            <w:tcBorders>
              <w:top w:val="single" w:sz="4" w:space="0" w:color="CCCCCC"/>
              <w:left w:val="single" w:sz="4" w:space="0" w:color="CCCCCC"/>
              <w:bottom w:val="single" w:sz="4" w:space="0" w:color="CCCCCC"/>
              <w:right w:val="single" w:sz="4" w:space="0" w:color="CCCCCC"/>
            </w:tcBorders>
            <w:shd w:fill="F0F4F8" w:val="clear"/>
            <w:tcMar>
              <w:top w:w="60" w:type="dxa"/>
              <w:left w:w="100" w:type="dxa"/>
              <w:bottom w:w="60" w:type="dxa"/>
              <w:right w:w="100" w:type="dxa"/>
            </w:tcMar>
            <w:vAlign w:val="center"/>
          </w:tcPr>
          <w:p>
            <w:pPr>
              <w:pStyle w:val="Normal"/>
              <w:widowControl w:val="false"/>
              <w:jc w:val="left"/>
              <w:rPr/>
            </w:pPr>
            <w:r>
              <w:rPr>
                <w:rFonts w:eastAsia="Courier New" w:cs="Courier New" w:ascii="Courier New" w:hAnsi="Courier New"/>
                <w:b w:val="false"/>
                <w:bCs w:val="false"/>
                <w:color w:val="1E3A5F"/>
                <w:sz w:val="18"/>
                <w:szCs w:val="18"/>
              </w:rPr>
              <w:t>CCAGGGGGCGCG</w:t>
            </w:r>
          </w:p>
        </w:tc>
      </w:tr>
      <w:tr>
        <w:trPr/>
        <w:tc>
          <w:tcPr>
            <w:tcW w:w="1300" w:type="dxa"/>
            <w:tcBorders>
              <w:top w:val="single" w:sz="4" w:space="0" w:color="CCCCCC"/>
              <w:left w:val="single" w:sz="4" w:space="0" w:color="CCCCCC"/>
              <w:bottom w:val="single" w:sz="4" w:space="0" w:color="CCCCCC"/>
              <w:right w:val="single" w:sz="4" w:space="0" w:color="CCCCCC"/>
            </w:tcBorders>
            <w:shd w:fill="FFFFFF"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MA0024.3</w:t>
            </w:r>
          </w:p>
        </w:tc>
        <w:tc>
          <w:tcPr>
            <w:tcW w:w="1200" w:type="dxa"/>
            <w:tcBorders>
              <w:top w:val="single" w:sz="4" w:space="0" w:color="CCCCCC"/>
              <w:left w:val="single" w:sz="4" w:space="0" w:color="CCCCCC"/>
              <w:bottom w:val="single" w:sz="4" w:space="0" w:color="CCCCCC"/>
              <w:right w:val="single" w:sz="4" w:space="0" w:color="CCCCCC"/>
            </w:tcBorders>
            <w:shd w:fill="FFFFFF"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E2F1</w:t>
            </w:r>
          </w:p>
        </w:tc>
        <w:tc>
          <w:tcPr>
            <w:tcW w:w="1699" w:type="dxa"/>
            <w:tcBorders>
              <w:top w:val="single" w:sz="4" w:space="0" w:color="CCCCCC"/>
              <w:left w:val="single" w:sz="4" w:space="0" w:color="CCCCCC"/>
              <w:bottom w:val="single" w:sz="4" w:space="0" w:color="CCCCCC"/>
              <w:right w:val="single" w:sz="4" w:space="0" w:color="CCCCCC"/>
            </w:tcBorders>
            <w:shd w:fill="FFFFFF"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Homo sapiens</w:t>
            </w:r>
          </w:p>
        </w:tc>
        <w:tc>
          <w:tcPr>
            <w:tcW w:w="1402" w:type="dxa"/>
            <w:tcBorders>
              <w:top w:val="single" w:sz="4" w:space="0" w:color="CCCCCC"/>
              <w:left w:val="single" w:sz="4" w:space="0" w:color="CCCCCC"/>
              <w:bottom w:val="single" w:sz="4" w:space="0" w:color="CCCCCC"/>
              <w:right w:val="single" w:sz="4" w:space="0" w:color="CCCCCC"/>
            </w:tcBorders>
            <w:shd w:fill="FFFFFF"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HT-SELEX</w:t>
            </w:r>
          </w:p>
        </w:tc>
        <w:tc>
          <w:tcPr>
            <w:tcW w:w="1199" w:type="dxa"/>
            <w:tcBorders>
              <w:top w:val="single" w:sz="4" w:space="0" w:color="CCCCCC"/>
              <w:left w:val="single" w:sz="4" w:space="0" w:color="CCCCCC"/>
              <w:bottom w:val="single" w:sz="4" w:space="0" w:color="CCCCCC"/>
              <w:right w:val="single" w:sz="4" w:space="0" w:color="CCCCCC"/>
            </w:tcBorders>
            <w:shd w:fill="FFFFFF"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9372931</w:t>
            </w:r>
          </w:p>
        </w:tc>
        <w:tc>
          <w:tcPr>
            <w:tcW w:w="2559" w:type="dxa"/>
            <w:tcBorders>
              <w:top w:val="single" w:sz="4" w:space="0" w:color="CCCCCC"/>
              <w:left w:val="single" w:sz="4" w:space="0" w:color="CCCCCC"/>
              <w:bottom w:val="single" w:sz="4" w:space="0" w:color="CCCCCC"/>
              <w:right w:val="single" w:sz="4" w:space="0" w:color="CCCCCC"/>
            </w:tcBorders>
            <w:shd w:fill="FFFFFF" w:val="clear"/>
            <w:tcMar>
              <w:top w:w="60" w:type="dxa"/>
              <w:left w:w="100" w:type="dxa"/>
              <w:bottom w:w="60" w:type="dxa"/>
              <w:right w:w="100" w:type="dxa"/>
            </w:tcMar>
            <w:vAlign w:val="center"/>
          </w:tcPr>
          <w:p>
            <w:pPr>
              <w:pStyle w:val="Normal"/>
              <w:widowControl w:val="false"/>
              <w:jc w:val="left"/>
              <w:rPr/>
            </w:pPr>
            <w:r>
              <w:rPr>
                <w:rFonts w:eastAsia="Courier New" w:cs="Courier New" w:ascii="Courier New" w:hAnsi="Courier New"/>
                <w:b w:val="false"/>
                <w:bCs w:val="false"/>
                <w:color w:val="1E3A5F"/>
                <w:sz w:val="18"/>
                <w:szCs w:val="18"/>
              </w:rPr>
              <w:t>TTTGGCGCCAAA</w:t>
            </w:r>
          </w:p>
        </w:tc>
      </w:tr>
      <w:tr>
        <w:trPr/>
        <w:tc>
          <w:tcPr>
            <w:tcW w:w="1300" w:type="dxa"/>
            <w:tcBorders>
              <w:top w:val="single" w:sz="4" w:space="0" w:color="CCCCCC"/>
              <w:left w:val="single" w:sz="4" w:space="0" w:color="CCCCCC"/>
              <w:bottom w:val="single" w:sz="4" w:space="0" w:color="CCCCCC"/>
              <w:right w:val="single" w:sz="4" w:space="0" w:color="CCCCCC"/>
            </w:tcBorders>
            <w:shd w:fill="F0F4F8"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MA0024.2</w:t>
            </w:r>
          </w:p>
        </w:tc>
        <w:tc>
          <w:tcPr>
            <w:tcW w:w="1200" w:type="dxa"/>
            <w:tcBorders>
              <w:top w:val="single" w:sz="4" w:space="0" w:color="CCCCCC"/>
              <w:left w:val="single" w:sz="4" w:space="0" w:color="CCCCCC"/>
              <w:bottom w:val="single" w:sz="4" w:space="0" w:color="CCCCCC"/>
              <w:right w:val="single" w:sz="4" w:space="0" w:color="CCCCCC"/>
            </w:tcBorders>
            <w:shd w:fill="F0F4F8"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E2F1</w:t>
            </w:r>
          </w:p>
        </w:tc>
        <w:tc>
          <w:tcPr>
            <w:tcW w:w="1699" w:type="dxa"/>
            <w:tcBorders>
              <w:top w:val="single" w:sz="4" w:space="0" w:color="CCCCCC"/>
              <w:left w:val="single" w:sz="4" w:space="0" w:color="CCCCCC"/>
              <w:bottom w:val="single" w:sz="4" w:space="0" w:color="CCCCCC"/>
              <w:right w:val="single" w:sz="4" w:space="0" w:color="CCCCCC"/>
            </w:tcBorders>
            <w:shd w:fill="F0F4F8"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Homo sapiens</w:t>
            </w:r>
          </w:p>
        </w:tc>
        <w:tc>
          <w:tcPr>
            <w:tcW w:w="1402" w:type="dxa"/>
            <w:tcBorders>
              <w:top w:val="single" w:sz="4" w:space="0" w:color="CCCCCC"/>
              <w:left w:val="single" w:sz="4" w:space="0" w:color="CCCCCC"/>
              <w:bottom w:val="single" w:sz="4" w:space="0" w:color="CCCCCC"/>
              <w:right w:val="single" w:sz="4" w:space="0" w:color="CCCCCC"/>
            </w:tcBorders>
            <w:shd w:fill="F0F4F8"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ChIP-seq</w:t>
            </w:r>
          </w:p>
        </w:tc>
        <w:tc>
          <w:tcPr>
            <w:tcW w:w="1199" w:type="dxa"/>
            <w:tcBorders>
              <w:top w:val="single" w:sz="4" w:space="0" w:color="CCCCCC"/>
              <w:left w:val="single" w:sz="4" w:space="0" w:color="CCCCCC"/>
              <w:bottom w:val="single" w:sz="4" w:space="0" w:color="CCCCCC"/>
              <w:right w:val="single" w:sz="4" w:space="0" w:color="CCCCCC"/>
            </w:tcBorders>
            <w:shd w:fill="F0F4F8"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17908821</w:t>
            </w:r>
          </w:p>
        </w:tc>
        <w:tc>
          <w:tcPr>
            <w:tcW w:w="2559" w:type="dxa"/>
            <w:tcBorders>
              <w:top w:val="single" w:sz="4" w:space="0" w:color="CCCCCC"/>
              <w:left w:val="single" w:sz="4" w:space="0" w:color="CCCCCC"/>
              <w:bottom w:val="single" w:sz="4" w:space="0" w:color="CCCCCC"/>
              <w:right w:val="single" w:sz="4" w:space="0" w:color="CCCCCC"/>
            </w:tcBorders>
            <w:shd w:fill="F0F4F8" w:val="clear"/>
            <w:tcMar>
              <w:top w:w="60" w:type="dxa"/>
              <w:left w:w="100" w:type="dxa"/>
              <w:bottom w:w="60" w:type="dxa"/>
              <w:right w:w="100" w:type="dxa"/>
            </w:tcMar>
            <w:vAlign w:val="center"/>
          </w:tcPr>
          <w:p>
            <w:pPr>
              <w:pStyle w:val="Normal"/>
              <w:widowControl w:val="false"/>
              <w:jc w:val="left"/>
              <w:rPr/>
            </w:pPr>
            <w:r>
              <w:rPr>
                <w:rFonts w:eastAsia="Courier New" w:cs="Courier New" w:ascii="Courier New" w:hAnsi="Courier New"/>
                <w:b w:val="false"/>
                <w:bCs w:val="false"/>
                <w:color w:val="1E3A5F"/>
                <w:sz w:val="18"/>
                <w:szCs w:val="18"/>
              </w:rPr>
              <w:t>CGGGCGGGAGG</w:t>
            </w:r>
          </w:p>
        </w:tc>
      </w:tr>
      <w:tr>
        <w:trPr/>
        <w:tc>
          <w:tcPr>
            <w:tcW w:w="1300" w:type="dxa"/>
            <w:tcBorders>
              <w:top w:val="single" w:sz="4" w:space="0" w:color="CCCCCC"/>
              <w:left w:val="single" w:sz="4" w:space="0" w:color="CCCCCC"/>
              <w:bottom w:val="single" w:sz="4" w:space="0" w:color="CCCCCC"/>
              <w:right w:val="single" w:sz="4" w:space="0" w:color="CCCCCC"/>
            </w:tcBorders>
            <w:shd w:fill="FFFFFF"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MA0899.1</w:t>
            </w:r>
          </w:p>
        </w:tc>
        <w:tc>
          <w:tcPr>
            <w:tcW w:w="1200" w:type="dxa"/>
            <w:tcBorders>
              <w:top w:val="single" w:sz="4" w:space="0" w:color="CCCCCC"/>
              <w:left w:val="single" w:sz="4" w:space="0" w:color="CCCCCC"/>
              <w:bottom w:val="single" w:sz="4" w:space="0" w:color="CCCCCC"/>
              <w:right w:val="single" w:sz="4" w:space="0" w:color="CCCCCC"/>
            </w:tcBorders>
            <w:shd w:fill="FFFFFF"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HOXA10</w:t>
            </w:r>
          </w:p>
        </w:tc>
        <w:tc>
          <w:tcPr>
            <w:tcW w:w="1699" w:type="dxa"/>
            <w:tcBorders>
              <w:top w:val="single" w:sz="4" w:space="0" w:color="CCCCCC"/>
              <w:left w:val="single" w:sz="4" w:space="0" w:color="CCCCCC"/>
              <w:bottom w:val="single" w:sz="4" w:space="0" w:color="CCCCCC"/>
              <w:right w:val="single" w:sz="4" w:space="0" w:color="CCCCCC"/>
            </w:tcBorders>
            <w:shd w:fill="FFFFFF"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Homo sapiens</w:t>
            </w:r>
          </w:p>
        </w:tc>
        <w:tc>
          <w:tcPr>
            <w:tcW w:w="1402" w:type="dxa"/>
            <w:tcBorders>
              <w:top w:val="single" w:sz="4" w:space="0" w:color="CCCCCC"/>
              <w:left w:val="single" w:sz="4" w:space="0" w:color="CCCCCC"/>
              <w:bottom w:val="single" w:sz="4" w:space="0" w:color="CCCCCC"/>
              <w:right w:val="single" w:sz="4" w:space="0" w:color="CCCCCC"/>
            </w:tcBorders>
            <w:shd w:fill="FFFFFF"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HT-SELEX</w:t>
            </w:r>
          </w:p>
        </w:tc>
        <w:tc>
          <w:tcPr>
            <w:tcW w:w="1199" w:type="dxa"/>
            <w:tcBorders>
              <w:top w:val="single" w:sz="4" w:space="0" w:color="CCCCCC"/>
              <w:left w:val="single" w:sz="4" w:space="0" w:color="CCCCCC"/>
              <w:bottom w:val="single" w:sz="4" w:space="0" w:color="CCCCCC"/>
              <w:right w:val="single" w:sz="4" w:space="0" w:color="CCCCCC"/>
            </w:tcBorders>
            <w:shd w:fill="FFFFFF"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18585359</w:t>
            </w:r>
          </w:p>
        </w:tc>
        <w:tc>
          <w:tcPr>
            <w:tcW w:w="2559" w:type="dxa"/>
            <w:tcBorders>
              <w:top w:val="single" w:sz="4" w:space="0" w:color="CCCCCC"/>
              <w:left w:val="single" w:sz="4" w:space="0" w:color="CCCCCC"/>
              <w:bottom w:val="single" w:sz="4" w:space="0" w:color="CCCCCC"/>
              <w:right w:val="single" w:sz="4" w:space="0" w:color="CCCCCC"/>
            </w:tcBorders>
            <w:shd w:fill="FFFFFF" w:val="clear"/>
            <w:tcMar>
              <w:top w:w="60" w:type="dxa"/>
              <w:left w:w="100" w:type="dxa"/>
              <w:bottom w:w="60" w:type="dxa"/>
              <w:right w:w="100" w:type="dxa"/>
            </w:tcMar>
            <w:vAlign w:val="center"/>
          </w:tcPr>
          <w:p>
            <w:pPr>
              <w:pStyle w:val="Normal"/>
              <w:widowControl w:val="false"/>
              <w:jc w:val="left"/>
              <w:rPr/>
            </w:pPr>
            <w:r>
              <w:rPr>
                <w:rFonts w:eastAsia="Courier New" w:cs="Courier New" w:ascii="Courier New" w:hAnsi="Courier New"/>
                <w:b w:val="false"/>
                <w:bCs w:val="false"/>
                <w:color w:val="1E3A5F"/>
                <w:sz w:val="18"/>
                <w:szCs w:val="18"/>
              </w:rPr>
              <w:t>GGTAATAAAAA</w:t>
            </w:r>
          </w:p>
        </w:tc>
      </w:tr>
      <w:tr>
        <w:trPr/>
        <w:tc>
          <w:tcPr>
            <w:tcW w:w="1300" w:type="dxa"/>
            <w:tcBorders>
              <w:top w:val="single" w:sz="4" w:space="0" w:color="CCCCCC"/>
              <w:left w:val="single" w:sz="4" w:space="0" w:color="CCCCCC"/>
              <w:bottom w:val="single" w:sz="4" w:space="0" w:color="CCCCCC"/>
              <w:right w:val="single" w:sz="4" w:space="0" w:color="CCCCCC"/>
            </w:tcBorders>
            <w:shd w:fill="F0F4F8"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MA0265.1</w:t>
            </w:r>
          </w:p>
        </w:tc>
        <w:tc>
          <w:tcPr>
            <w:tcW w:w="1200" w:type="dxa"/>
            <w:tcBorders>
              <w:top w:val="single" w:sz="4" w:space="0" w:color="CCCCCC"/>
              <w:left w:val="single" w:sz="4" w:space="0" w:color="CCCCCC"/>
              <w:bottom w:val="single" w:sz="4" w:space="0" w:color="CCCCCC"/>
              <w:right w:val="single" w:sz="4" w:space="0" w:color="CCCCCC"/>
            </w:tcBorders>
            <w:shd w:fill="F0F4F8"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ABF1</w:t>
            </w:r>
          </w:p>
        </w:tc>
        <w:tc>
          <w:tcPr>
            <w:tcW w:w="1699" w:type="dxa"/>
            <w:tcBorders>
              <w:top w:val="single" w:sz="4" w:space="0" w:color="CCCCCC"/>
              <w:left w:val="single" w:sz="4" w:space="0" w:color="CCCCCC"/>
              <w:bottom w:val="single" w:sz="4" w:space="0" w:color="CCCCCC"/>
              <w:right w:val="single" w:sz="4" w:space="0" w:color="CCCCCC"/>
            </w:tcBorders>
            <w:shd w:fill="F0F4F8"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S. cerevisiae</w:t>
            </w:r>
          </w:p>
        </w:tc>
        <w:tc>
          <w:tcPr>
            <w:tcW w:w="1402" w:type="dxa"/>
            <w:tcBorders>
              <w:top w:val="single" w:sz="4" w:space="0" w:color="CCCCCC"/>
              <w:left w:val="single" w:sz="4" w:space="0" w:color="CCCCCC"/>
              <w:bottom w:val="single" w:sz="4" w:space="0" w:color="CCCCCC"/>
              <w:right w:val="single" w:sz="4" w:space="0" w:color="CCCCCC"/>
            </w:tcBorders>
            <w:shd w:fill="F0F4F8"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PBM/DIP-chip</w:t>
            </w:r>
          </w:p>
        </w:tc>
        <w:tc>
          <w:tcPr>
            <w:tcW w:w="1199" w:type="dxa"/>
            <w:tcBorders>
              <w:top w:val="single" w:sz="4" w:space="0" w:color="CCCCCC"/>
              <w:left w:val="single" w:sz="4" w:space="0" w:color="CCCCCC"/>
              <w:bottom w:val="single" w:sz="4" w:space="0" w:color="CCCCCC"/>
              <w:right w:val="single" w:sz="4" w:space="0" w:color="CCCCCC"/>
            </w:tcBorders>
            <w:shd w:fill="F0F4F8"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19111667</w:t>
            </w:r>
          </w:p>
        </w:tc>
        <w:tc>
          <w:tcPr>
            <w:tcW w:w="2559" w:type="dxa"/>
            <w:tcBorders>
              <w:top w:val="single" w:sz="4" w:space="0" w:color="CCCCCC"/>
              <w:left w:val="single" w:sz="4" w:space="0" w:color="CCCCCC"/>
              <w:bottom w:val="single" w:sz="4" w:space="0" w:color="CCCCCC"/>
              <w:right w:val="single" w:sz="4" w:space="0" w:color="CCCCCC"/>
            </w:tcBorders>
            <w:shd w:fill="F0F4F8" w:val="clear"/>
            <w:tcMar>
              <w:top w:w="60" w:type="dxa"/>
              <w:left w:w="100" w:type="dxa"/>
              <w:bottom w:w="60" w:type="dxa"/>
              <w:right w:w="100" w:type="dxa"/>
            </w:tcMar>
            <w:vAlign w:val="center"/>
          </w:tcPr>
          <w:p>
            <w:pPr>
              <w:pStyle w:val="Normal"/>
              <w:widowControl w:val="false"/>
              <w:jc w:val="left"/>
              <w:rPr/>
            </w:pPr>
            <w:r>
              <w:rPr>
                <w:rFonts w:eastAsia="Courier New" w:cs="Courier New" w:ascii="Courier New" w:hAnsi="Courier New"/>
                <w:b w:val="false"/>
                <w:bCs w:val="false"/>
                <w:color w:val="1E3A5F"/>
                <w:sz w:val="18"/>
                <w:szCs w:val="18"/>
              </w:rPr>
              <w:t>CTCTATTTCGTG</w:t>
            </w:r>
          </w:p>
        </w:tc>
      </w:tr>
      <w:tr>
        <w:trPr/>
        <w:tc>
          <w:tcPr>
            <w:tcW w:w="1300" w:type="dxa"/>
            <w:tcBorders>
              <w:top w:val="single" w:sz="4" w:space="0" w:color="CCCCCC"/>
              <w:left w:val="single" w:sz="4" w:space="0" w:color="CCCCCC"/>
              <w:bottom w:val="single" w:sz="4" w:space="0" w:color="CCCCCC"/>
              <w:right w:val="single" w:sz="4" w:space="0" w:color="CCCCCC"/>
            </w:tcBorders>
            <w:shd w:fill="FFFFFF"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MA0266.1</w:t>
            </w:r>
          </w:p>
        </w:tc>
        <w:tc>
          <w:tcPr>
            <w:tcW w:w="1200" w:type="dxa"/>
            <w:tcBorders>
              <w:top w:val="single" w:sz="4" w:space="0" w:color="CCCCCC"/>
              <w:left w:val="single" w:sz="4" w:space="0" w:color="CCCCCC"/>
              <w:bottom w:val="single" w:sz="4" w:space="0" w:color="CCCCCC"/>
              <w:right w:val="single" w:sz="4" w:space="0" w:color="CCCCCC"/>
            </w:tcBorders>
            <w:shd w:fill="FFFFFF"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ABF2 v1</w:t>
            </w:r>
          </w:p>
        </w:tc>
        <w:tc>
          <w:tcPr>
            <w:tcW w:w="1699" w:type="dxa"/>
            <w:tcBorders>
              <w:top w:val="single" w:sz="4" w:space="0" w:color="CCCCCC"/>
              <w:left w:val="single" w:sz="4" w:space="0" w:color="CCCCCC"/>
              <w:bottom w:val="single" w:sz="4" w:space="0" w:color="CCCCCC"/>
              <w:right w:val="single" w:sz="4" w:space="0" w:color="CCCCCC"/>
            </w:tcBorders>
            <w:shd w:fill="FFFFFF"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S. cerevisiae</w:t>
            </w:r>
          </w:p>
        </w:tc>
        <w:tc>
          <w:tcPr>
            <w:tcW w:w="1402" w:type="dxa"/>
            <w:tcBorders>
              <w:top w:val="single" w:sz="4" w:space="0" w:color="CCCCCC"/>
              <w:left w:val="single" w:sz="4" w:space="0" w:color="CCCCCC"/>
              <w:bottom w:val="single" w:sz="4" w:space="0" w:color="CCCCCC"/>
              <w:right w:val="single" w:sz="4" w:space="0" w:color="CCCCCC"/>
            </w:tcBorders>
            <w:shd w:fill="FFFFFF"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PBM</w:t>
            </w:r>
          </w:p>
        </w:tc>
        <w:tc>
          <w:tcPr>
            <w:tcW w:w="1199" w:type="dxa"/>
            <w:tcBorders>
              <w:top w:val="single" w:sz="4" w:space="0" w:color="CCCCCC"/>
              <w:left w:val="single" w:sz="4" w:space="0" w:color="CCCCCC"/>
              <w:bottom w:val="single" w:sz="4" w:space="0" w:color="CCCCCC"/>
              <w:right w:val="single" w:sz="4" w:space="0" w:color="CCCCCC"/>
            </w:tcBorders>
            <w:shd w:fill="FFFFFF"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19111667</w:t>
            </w:r>
          </w:p>
        </w:tc>
        <w:tc>
          <w:tcPr>
            <w:tcW w:w="2559" w:type="dxa"/>
            <w:tcBorders>
              <w:top w:val="single" w:sz="4" w:space="0" w:color="CCCCCC"/>
              <w:left w:val="single" w:sz="4" w:space="0" w:color="CCCCCC"/>
              <w:bottom w:val="single" w:sz="4" w:space="0" w:color="CCCCCC"/>
              <w:right w:val="single" w:sz="4" w:space="0" w:color="CCCCCC"/>
            </w:tcBorders>
            <w:shd w:fill="FFFFFF" w:val="clear"/>
            <w:tcMar>
              <w:top w:w="60" w:type="dxa"/>
              <w:left w:w="100" w:type="dxa"/>
              <w:bottom w:w="60" w:type="dxa"/>
              <w:right w:w="100" w:type="dxa"/>
            </w:tcMar>
            <w:vAlign w:val="center"/>
          </w:tcPr>
          <w:p>
            <w:pPr>
              <w:pStyle w:val="Normal"/>
              <w:widowControl w:val="false"/>
              <w:jc w:val="left"/>
              <w:rPr/>
            </w:pPr>
            <w:r>
              <w:rPr>
                <w:rFonts w:eastAsia="Courier New" w:cs="Courier New" w:ascii="Courier New" w:hAnsi="Courier New"/>
                <w:b w:val="false"/>
                <w:bCs w:val="false"/>
                <w:color w:val="1E3A5F"/>
                <w:sz w:val="18"/>
                <w:szCs w:val="18"/>
              </w:rPr>
              <w:t>GCATCTG</w:t>
            </w:r>
          </w:p>
        </w:tc>
      </w:tr>
      <w:tr>
        <w:trPr/>
        <w:tc>
          <w:tcPr>
            <w:tcW w:w="1300" w:type="dxa"/>
            <w:tcBorders>
              <w:top w:val="single" w:sz="4" w:space="0" w:color="CCCCCC"/>
              <w:left w:val="single" w:sz="4" w:space="0" w:color="CCCCCC"/>
              <w:bottom w:val="single" w:sz="4" w:space="0" w:color="CCCCCC"/>
              <w:right w:val="single" w:sz="4" w:space="0" w:color="CCCCCC"/>
            </w:tcBorders>
            <w:shd w:fill="F0F4F8"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MA0266.2</w:t>
            </w:r>
          </w:p>
        </w:tc>
        <w:tc>
          <w:tcPr>
            <w:tcW w:w="1200" w:type="dxa"/>
            <w:tcBorders>
              <w:top w:val="single" w:sz="4" w:space="0" w:color="CCCCCC"/>
              <w:left w:val="single" w:sz="4" w:space="0" w:color="CCCCCC"/>
              <w:bottom w:val="single" w:sz="4" w:space="0" w:color="CCCCCC"/>
              <w:right w:val="single" w:sz="4" w:space="0" w:color="CCCCCC"/>
            </w:tcBorders>
            <w:shd w:fill="F0F4F8"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ABF2 v2</w:t>
            </w:r>
          </w:p>
        </w:tc>
        <w:tc>
          <w:tcPr>
            <w:tcW w:w="1699" w:type="dxa"/>
            <w:tcBorders>
              <w:top w:val="single" w:sz="4" w:space="0" w:color="CCCCCC"/>
              <w:left w:val="single" w:sz="4" w:space="0" w:color="CCCCCC"/>
              <w:bottom w:val="single" w:sz="4" w:space="0" w:color="CCCCCC"/>
              <w:right w:val="single" w:sz="4" w:space="0" w:color="CCCCCC"/>
            </w:tcBorders>
            <w:shd w:fill="F0F4F8"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S. cerevisiae</w:t>
            </w:r>
          </w:p>
        </w:tc>
        <w:tc>
          <w:tcPr>
            <w:tcW w:w="1402" w:type="dxa"/>
            <w:tcBorders>
              <w:top w:val="single" w:sz="4" w:space="0" w:color="CCCCCC"/>
              <w:left w:val="single" w:sz="4" w:space="0" w:color="CCCCCC"/>
              <w:bottom w:val="single" w:sz="4" w:space="0" w:color="CCCCCC"/>
              <w:right w:val="single" w:sz="4" w:space="0" w:color="CCCCCC"/>
            </w:tcBorders>
            <w:shd w:fill="F0F4F8"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PBM</w:t>
            </w:r>
          </w:p>
        </w:tc>
        <w:tc>
          <w:tcPr>
            <w:tcW w:w="1199" w:type="dxa"/>
            <w:tcBorders>
              <w:top w:val="single" w:sz="4" w:space="0" w:color="CCCCCC"/>
              <w:left w:val="single" w:sz="4" w:space="0" w:color="CCCCCC"/>
              <w:bottom w:val="single" w:sz="4" w:space="0" w:color="CCCCCC"/>
              <w:right w:val="single" w:sz="4" w:space="0" w:color="CCCCCC"/>
            </w:tcBorders>
            <w:shd w:fill="F0F4F8"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19111667</w:t>
            </w:r>
          </w:p>
        </w:tc>
        <w:tc>
          <w:tcPr>
            <w:tcW w:w="2559" w:type="dxa"/>
            <w:tcBorders>
              <w:top w:val="single" w:sz="4" w:space="0" w:color="CCCCCC"/>
              <w:left w:val="single" w:sz="4" w:space="0" w:color="CCCCCC"/>
              <w:bottom w:val="single" w:sz="4" w:space="0" w:color="CCCCCC"/>
              <w:right w:val="single" w:sz="4" w:space="0" w:color="CCCCCC"/>
            </w:tcBorders>
            <w:shd w:fill="F0F4F8" w:val="clear"/>
            <w:tcMar>
              <w:top w:w="60" w:type="dxa"/>
              <w:left w:w="100" w:type="dxa"/>
              <w:bottom w:w="60" w:type="dxa"/>
              <w:right w:w="100" w:type="dxa"/>
            </w:tcMar>
            <w:vAlign w:val="center"/>
          </w:tcPr>
          <w:p>
            <w:pPr>
              <w:pStyle w:val="Normal"/>
              <w:widowControl w:val="false"/>
              <w:jc w:val="left"/>
              <w:rPr/>
            </w:pPr>
            <w:r>
              <w:rPr>
                <w:rFonts w:eastAsia="Courier New" w:cs="Courier New" w:ascii="Courier New" w:hAnsi="Courier New"/>
                <w:b w:val="false"/>
                <w:bCs w:val="false"/>
                <w:color w:val="1E3A5F"/>
                <w:sz w:val="18"/>
                <w:szCs w:val="18"/>
              </w:rPr>
              <w:t>TCATCTG</w:t>
            </w:r>
          </w:p>
        </w:tc>
      </w:tr>
      <w:tr>
        <w:trPr/>
        <w:tc>
          <w:tcPr>
            <w:tcW w:w="1300" w:type="dxa"/>
            <w:tcBorders>
              <w:top w:val="single" w:sz="4" w:space="0" w:color="CCCCCC"/>
              <w:left w:val="single" w:sz="4" w:space="0" w:color="CCCCCC"/>
              <w:bottom w:val="single" w:sz="4" w:space="0" w:color="CCCCCC"/>
              <w:right w:val="single" w:sz="4" w:space="0" w:color="CCCCCC"/>
            </w:tcBorders>
            <w:shd w:fill="FFFFFF"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MA0001.1</w:t>
            </w:r>
          </w:p>
        </w:tc>
        <w:tc>
          <w:tcPr>
            <w:tcW w:w="1200" w:type="dxa"/>
            <w:tcBorders>
              <w:top w:val="single" w:sz="4" w:space="0" w:color="CCCCCC"/>
              <w:left w:val="single" w:sz="4" w:space="0" w:color="CCCCCC"/>
              <w:bottom w:val="single" w:sz="4" w:space="0" w:color="CCCCCC"/>
              <w:right w:val="single" w:sz="4" w:space="0" w:color="CCCCCC"/>
            </w:tcBorders>
            <w:shd w:fill="FFFFFF"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AGL3</w:t>
            </w:r>
          </w:p>
        </w:tc>
        <w:tc>
          <w:tcPr>
            <w:tcW w:w="1699" w:type="dxa"/>
            <w:tcBorders>
              <w:top w:val="single" w:sz="4" w:space="0" w:color="CCCCCC"/>
              <w:left w:val="single" w:sz="4" w:space="0" w:color="CCCCCC"/>
              <w:bottom w:val="single" w:sz="4" w:space="0" w:color="CCCCCC"/>
              <w:right w:val="single" w:sz="4" w:space="0" w:color="CCCCCC"/>
            </w:tcBorders>
            <w:shd w:fill="FFFFFF"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A. thaliana</w:t>
            </w:r>
          </w:p>
        </w:tc>
        <w:tc>
          <w:tcPr>
            <w:tcW w:w="1402" w:type="dxa"/>
            <w:tcBorders>
              <w:top w:val="single" w:sz="4" w:space="0" w:color="CCCCCC"/>
              <w:left w:val="single" w:sz="4" w:space="0" w:color="CCCCCC"/>
              <w:bottom w:val="single" w:sz="4" w:space="0" w:color="CCCCCC"/>
              <w:right w:val="single" w:sz="4" w:space="0" w:color="CCCCCC"/>
            </w:tcBorders>
            <w:shd w:fill="FFFFFF"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SELEX</w:t>
            </w:r>
          </w:p>
        </w:tc>
        <w:tc>
          <w:tcPr>
            <w:tcW w:w="1199" w:type="dxa"/>
            <w:tcBorders>
              <w:top w:val="single" w:sz="4" w:space="0" w:color="CCCCCC"/>
              <w:left w:val="single" w:sz="4" w:space="0" w:color="CCCCCC"/>
              <w:bottom w:val="single" w:sz="4" w:space="0" w:color="CCCCCC"/>
              <w:right w:val="single" w:sz="4" w:space="0" w:color="CCCCCC"/>
            </w:tcBorders>
            <w:shd w:fill="FFFFFF"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7632923</w:t>
            </w:r>
          </w:p>
        </w:tc>
        <w:tc>
          <w:tcPr>
            <w:tcW w:w="2559" w:type="dxa"/>
            <w:tcBorders>
              <w:top w:val="single" w:sz="4" w:space="0" w:color="CCCCCC"/>
              <w:left w:val="single" w:sz="4" w:space="0" w:color="CCCCCC"/>
              <w:bottom w:val="single" w:sz="4" w:space="0" w:color="CCCCCC"/>
              <w:right w:val="single" w:sz="4" w:space="0" w:color="CCCCCC"/>
            </w:tcBorders>
            <w:shd w:fill="FFFFFF" w:val="clear"/>
            <w:tcMar>
              <w:top w:w="60" w:type="dxa"/>
              <w:left w:w="100" w:type="dxa"/>
              <w:bottom w:w="60" w:type="dxa"/>
              <w:right w:w="100" w:type="dxa"/>
            </w:tcMar>
            <w:vAlign w:val="center"/>
          </w:tcPr>
          <w:p>
            <w:pPr>
              <w:pStyle w:val="Normal"/>
              <w:widowControl w:val="false"/>
              <w:jc w:val="left"/>
              <w:rPr/>
            </w:pPr>
            <w:r>
              <w:rPr>
                <w:rFonts w:eastAsia="Courier New" w:cs="Courier New" w:ascii="Courier New" w:hAnsi="Courier New"/>
                <w:b w:val="false"/>
                <w:bCs w:val="false"/>
                <w:color w:val="1E3A5F"/>
                <w:sz w:val="18"/>
                <w:szCs w:val="18"/>
              </w:rPr>
              <w:t>CCATATATAG</w:t>
            </w:r>
          </w:p>
        </w:tc>
      </w:tr>
      <w:tr>
        <w:trPr/>
        <w:tc>
          <w:tcPr>
            <w:tcW w:w="1300" w:type="dxa"/>
            <w:tcBorders>
              <w:top w:val="single" w:sz="4" w:space="0" w:color="CCCCCC"/>
              <w:left w:val="single" w:sz="4" w:space="0" w:color="CCCCCC"/>
              <w:bottom w:val="single" w:sz="4" w:space="0" w:color="CCCCCC"/>
              <w:right w:val="single" w:sz="4" w:space="0" w:color="CCCCCC"/>
            </w:tcBorders>
            <w:shd w:fill="F0F4F8"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MA0570.1</w:t>
            </w:r>
          </w:p>
        </w:tc>
        <w:tc>
          <w:tcPr>
            <w:tcW w:w="1200" w:type="dxa"/>
            <w:tcBorders>
              <w:top w:val="single" w:sz="4" w:space="0" w:color="CCCCCC"/>
              <w:left w:val="single" w:sz="4" w:space="0" w:color="CCCCCC"/>
              <w:bottom w:val="single" w:sz="4" w:space="0" w:color="CCCCCC"/>
              <w:right w:val="single" w:sz="4" w:space="0" w:color="CCCCCC"/>
            </w:tcBorders>
            <w:shd w:fill="F0F4F8"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ABF1</w:t>
            </w:r>
          </w:p>
        </w:tc>
        <w:tc>
          <w:tcPr>
            <w:tcW w:w="1699" w:type="dxa"/>
            <w:tcBorders>
              <w:top w:val="single" w:sz="4" w:space="0" w:color="CCCCCC"/>
              <w:left w:val="single" w:sz="4" w:space="0" w:color="CCCCCC"/>
              <w:bottom w:val="single" w:sz="4" w:space="0" w:color="CCCCCC"/>
              <w:right w:val="single" w:sz="4" w:space="0" w:color="CCCCCC"/>
            </w:tcBorders>
            <w:shd w:fill="F0F4F8"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A. thaliana</w:t>
            </w:r>
          </w:p>
        </w:tc>
        <w:tc>
          <w:tcPr>
            <w:tcW w:w="1402" w:type="dxa"/>
            <w:tcBorders>
              <w:top w:val="single" w:sz="4" w:space="0" w:color="CCCCCC"/>
              <w:left w:val="single" w:sz="4" w:space="0" w:color="CCCCCC"/>
              <w:bottom w:val="single" w:sz="4" w:space="0" w:color="CCCCCC"/>
              <w:right w:val="single" w:sz="4" w:space="0" w:color="CCCCCC"/>
            </w:tcBorders>
            <w:shd w:fill="F0F4F8"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SELEX</w:t>
            </w:r>
          </w:p>
        </w:tc>
        <w:tc>
          <w:tcPr>
            <w:tcW w:w="1199" w:type="dxa"/>
            <w:tcBorders>
              <w:top w:val="single" w:sz="4" w:space="0" w:color="CCCCCC"/>
              <w:left w:val="single" w:sz="4" w:space="0" w:color="CCCCCC"/>
              <w:bottom w:val="single" w:sz="4" w:space="0" w:color="CCCCCC"/>
              <w:right w:val="single" w:sz="4" w:space="0" w:color="CCCCCC"/>
            </w:tcBorders>
            <w:shd w:fill="F0F4F8"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10636868</w:t>
            </w:r>
          </w:p>
        </w:tc>
        <w:tc>
          <w:tcPr>
            <w:tcW w:w="2559" w:type="dxa"/>
            <w:tcBorders>
              <w:top w:val="single" w:sz="4" w:space="0" w:color="CCCCCC"/>
              <w:left w:val="single" w:sz="4" w:space="0" w:color="CCCCCC"/>
              <w:bottom w:val="single" w:sz="4" w:space="0" w:color="CCCCCC"/>
              <w:right w:val="single" w:sz="4" w:space="0" w:color="CCCCCC"/>
            </w:tcBorders>
            <w:shd w:fill="F0F4F8" w:val="clear"/>
            <w:tcMar>
              <w:top w:w="60" w:type="dxa"/>
              <w:left w:w="100" w:type="dxa"/>
              <w:bottom w:w="60" w:type="dxa"/>
              <w:right w:w="100" w:type="dxa"/>
            </w:tcMar>
            <w:vAlign w:val="center"/>
          </w:tcPr>
          <w:p>
            <w:pPr>
              <w:pStyle w:val="Normal"/>
              <w:widowControl w:val="false"/>
              <w:jc w:val="left"/>
              <w:rPr/>
            </w:pPr>
            <w:r>
              <w:rPr>
                <w:rFonts w:eastAsia="Courier New" w:cs="Courier New" w:ascii="Courier New" w:hAnsi="Courier New"/>
                <w:b w:val="false"/>
                <w:bCs w:val="false"/>
                <w:color w:val="1E3A5F"/>
                <w:sz w:val="18"/>
                <w:szCs w:val="18"/>
              </w:rPr>
              <w:t>GGTGACGCGCATCTGTCAC</w:t>
            </w:r>
          </w:p>
        </w:tc>
      </w:tr>
      <w:tr>
        <w:trPr/>
        <w:tc>
          <w:tcPr>
            <w:tcW w:w="1300" w:type="dxa"/>
            <w:tcBorders>
              <w:top w:val="single" w:sz="4" w:space="0" w:color="CCCCCC"/>
              <w:left w:val="single" w:sz="4" w:space="0" w:color="CCCCCC"/>
              <w:bottom w:val="single" w:sz="4" w:space="0" w:color="CCCCCC"/>
              <w:right w:val="single" w:sz="4" w:space="0" w:color="CCCCCC"/>
            </w:tcBorders>
            <w:shd w:fill="FFFFFF"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MA0930.1</w:t>
            </w:r>
          </w:p>
        </w:tc>
        <w:tc>
          <w:tcPr>
            <w:tcW w:w="1200" w:type="dxa"/>
            <w:tcBorders>
              <w:top w:val="single" w:sz="4" w:space="0" w:color="CCCCCC"/>
              <w:left w:val="single" w:sz="4" w:space="0" w:color="CCCCCC"/>
              <w:bottom w:val="single" w:sz="4" w:space="0" w:color="CCCCCC"/>
              <w:right w:val="single" w:sz="4" w:space="0" w:color="CCCCCC"/>
            </w:tcBorders>
            <w:shd w:fill="FFFFFF"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ABF3 v1</w:t>
            </w:r>
          </w:p>
        </w:tc>
        <w:tc>
          <w:tcPr>
            <w:tcW w:w="1699" w:type="dxa"/>
            <w:tcBorders>
              <w:top w:val="single" w:sz="4" w:space="0" w:color="CCCCCC"/>
              <w:left w:val="single" w:sz="4" w:space="0" w:color="CCCCCC"/>
              <w:bottom w:val="single" w:sz="4" w:space="0" w:color="CCCCCC"/>
              <w:right w:val="single" w:sz="4" w:space="0" w:color="CCCCCC"/>
            </w:tcBorders>
            <w:shd w:fill="FFFFFF"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A. thaliana</w:t>
            </w:r>
          </w:p>
        </w:tc>
        <w:tc>
          <w:tcPr>
            <w:tcW w:w="1402" w:type="dxa"/>
            <w:tcBorders>
              <w:top w:val="single" w:sz="4" w:space="0" w:color="CCCCCC"/>
              <w:left w:val="single" w:sz="4" w:space="0" w:color="CCCCCC"/>
              <w:bottom w:val="single" w:sz="4" w:space="0" w:color="CCCCCC"/>
              <w:right w:val="single" w:sz="4" w:space="0" w:color="CCCCCC"/>
            </w:tcBorders>
            <w:shd w:fill="FFFFFF"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PBM</w:t>
            </w:r>
          </w:p>
        </w:tc>
        <w:tc>
          <w:tcPr>
            <w:tcW w:w="1199" w:type="dxa"/>
            <w:tcBorders>
              <w:top w:val="single" w:sz="4" w:space="0" w:color="CCCCCC"/>
              <w:left w:val="single" w:sz="4" w:space="0" w:color="CCCCCC"/>
              <w:bottom w:val="single" w:sz="4" w:space="0" w:color="CCCCCC"/>
              <w:right w:val="single" w:sz="4" w:space="0" w:color="CCCCCC"/>
            </w:tcBorders>
            <w:shd w:fill="FFFFFF"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11005831</w:t>
            </w:r>
          </w:p>
        </w:tc>
        <w:tc>
          <w:tcPr>
            <w:tcW w:w="2559" w:type="dxa"/>
            <w:tcBorders>
              <w:top w:val="single" w:sz="4" w:space="0" w:color="CCCCCC"/>
              <w:left w:val="single" w:sz="4" w:space="0" w:color="CCCCCC"/>
              <w:bottom w:val="single" w:sz="4" w:space="0" w:color="CCCCCC"/>
              <w:right w:val="single" w:sz="4" w:space="0" w:color="CCCCCC"/>
            </w:tcBorders>
            <w:shd w:fill="FFFFFF" w:val="clear"/>
            <w:tcMar>
              <w:top w:w="60" w:type="dxa"/>
              <w:left w:w="100" w:type="dxa"/>
              <w:bottom w:w="60" w:type="dxa"/>
              <w:right w:w="100" w:type="dxa"/>
            </w:tcMar>
            <w:vAlign w:val="center"/>
          </w:tcPr>
          <w:p>
            <w:pPr>
              <w:pStyle w:val="Normal"/>
              <w:widowControl w:val="false"/>
              <w:jc w:val="left"/>
              <w:rPr/>
            </w:pPr>
            <w:r>
              <w:rPr>
                <w:rFonts w:eastAsia="Courier New" w:cs="Courier New" w:ascii="Courier New" w:hAnsi="Courier New"/>
                <w:b w:val="false"/>
                <w:bCs w:val="false"/>
                <w:color w:val="1E3A5F"/>
                <w:sz w:val="18"/>
                <w:szCs w:val="18"/>
              </w:rPr>
              <w:t>ACACACGTGT</w:t>
            </w:r>
          </w:p>
        </w:tc>
      </w:tr>
      <w:tr>
        <w:trPr/>
        <w:tc>
          <w:tcPr>
            <w:tcW w:w="1300" w:type="dxa"/>
            <w:tcBorders>
              <w:top w:val="single" w:sz="4" w:space="0" w:color="CCCCCC"/>
              <w:left w:val="single" w:sz="4" w:space="0" w:color="CCCCCC"/>
              <w:bottom w:val="single" w:sz="4" w:space="0" w:color="CCCCCC"/>
              <w:right w:val="single" w:sz="4" w:space="0" w:color="CCCCCC"/>
            </w:tcBorders>
            <w:shd w:fill="F0F4F8"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MA0930.2</w:t>
            </w:r>
          </w:p>
        </w:tc>
        <w:tc>
          <w:tcPr>
            <w:tcW w:w="1200" w:type="dxa"/>
            <w:tcBorders>
              <w:top w:val="single" w:sz="4" w:space="0" w:color="CCCCCC"/>
              <w:left w:val="single" w:sz="4" w:space="0" w:color="CCCCCC"/>
              <w:bottom w:val="single" w:sz="4" w:space="0" w:color="CCCCCC"/>
              <w:right w:val="single" w:sz="4" w:space="0" w:color="CCCCCC"/>
            </w:tcBorders>
            <w:shd w:fill="F0F4F8"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ABF3 v2</w:t>
            </w:r>
          </w:p>
        </w:tc>
        <w:tc>
          <w:tcPr>
            <w:tcW w:w="1699" w:type="dxa"/>
            <w:tcBorders>
              <w:top w:val="single" w:sz="4" w:space="0" w:color="CCCCCC"/>
              <w:left w:val="single" w:sz="4" w:space="0" w:color="CCCCCC"/>
              <w:bottom w:val="single" w:sz="4" w:space="0" w:color="CCCCCC"/>
              <w:right w:val="single" w:sz="4" w:space="0" w:color="CCCCCC"/>
            </w:tcBorders>
            <w:shd w:fill="F0F4F8"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A. thaliana</w:t>
            </w:r>
          </w:p>
        </w:tc>
        <w:tc>
          <w:tcPr>
            <w:tcW w:w="1402" w:type="dxa"/>
            <w:tcBorders>
              <w:top w:val="single" w:sz="4" w:space="0" w:color="CCCCCC"/>
              <w:left w:val="single" w:sz="4" w:space="0" w:color="CCCCCC"/>
              <w:bottom w:val="single" w:sz="4" w:space="0" w:color="CCCCCC"/>
              <w:right w:val="single" w:sz="4" w:space="0" w:color="CCCCCC"/>
            </w:tcBorders>
            <w:shd w:fill="F0F4F8"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ChIP-seq</w:t>
            </w:r>
          </w:p>
        </w:tc>
        <w:tc>
          <w:tcPr>
            <w:tcW w:w="1199" w:type="dxa"/>
            <w:tcBorders>
              <w:top w:val="single" w:sz="4" w:space="0" w:color="CCCCCC"/>
              <w:left w:val="single" w:sz="4" w:space="0" w:color="CCCCCC"/>
              <w:bottom w:val="single" w:sz="4" w:space="0" w:color="CCCCCC"/>
              <w:right w:val="single" w:sz="4" w:space="0" w:color="CCCCCC"/>
            </w:tcBorders>
            <w:shd w:fill="F0F4F8"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11005831</w:t>
            </w:r>
          </w:p>
        </w:tc>
        <w:tc>
          <w:tcPr>
            <w:tcW w:w="2559" w:type="dxa"/>
            <w:tcBorders>
              <w:top w:val="single" w:sz="4" w:space="0" w:color="CCCCCC"/>
              <w:left w:val="single" w:sz="4" w:space="0" w:color="CCCCCC"/>
              <w:bottom w:val="single" w:sz="4" w:space="0" w:color="CCCCCC"/>
              <w:right w:val="single" w:sz="4" w:space="0" w:color="CCCCCC"/>
            </w:tcBorders>
            <w:shd w:fill="F0F4F8" w:val="clear"/>
            <w:tcMar>
              <w:top w:w="60" w:type="dxa"/>
              <w:left w:w="100" w:type="dxa"/>
              <w:bottom w:w="60" w:type="dxa"/>
              <w:right w:w="100" w:type="dxa"/>
            </w:tcMar>
            <w:vAlign w:val="center"/>
          </w:tcPr>
          <w:p>
            <w:pPr>
              <w:pStyle w:val="Normal"/>
              <w:widowControl w:val="false"/>
              <w:jc w:val="left"/>
              <w:rPr/>
            </w:pPr>
            <w:r>
              <w:rPr>
                <w:rFonts w:eastAsia="Courier New" w:cs="Courier New" w:ascii="Courier New" w:hAnsi="Courier New"/>
                <w:b w:val="false"/>
                <w:bCs w:val="false"/>
                <w:color w:val="1E3A5F"/>
                <w:sz w:val="18"/>
                <w:szCs w:val="18"/>
              </w:rPr>
              <w:t>GTACACACGTG</w:t>
            </w:r>
          </w:p>
        </w:tc>
      </w:tr>
      <w:tr>
        <w:trPr/>
        <w:tc>
          <w:tcPr>
            <w:tcW w:w="1300" w:type="dxa"/>
            <w:tcBorders>
              <w:top w:val="single" w:sz="4" w:space="0" w:color="CCCCCC"/>
              <w:left w:val="single" w:sz="4" w:space="0" w:color="CCCCCC"/>
              <w:bottom w:val="single" w:sz="4" w:space="0" w:color="CCCCCC"/>
              <w:right w:val="single" w:sz="4" w:space="0" w:color="CCCCCC"/>
            </w:tcBorders>
            <w:shd w:fill="FFFFFF"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MA0930.3</w:t>
            </w:r>
          </w:p>
        </w:tc>
        <w:tc>
          <w:tcPr>
            <w:tcW w:w="1200" w:type="dxa"/>
            <w:tcBorders>
              <w:top w:val="single" w:sz="4" w:space="0" w:color="CCCCCC"/>
              <w:left w:val="single" w:sz="4" w:space="0" w:color="CCCCCC"/>
              <w:bottom w:val="single" w:sz="4" w:space="0" w:color="CCCCCC"/>
              <w:right w:val="single" w:sz="4" w:space="0" w:color="CCCCCC"/>
            </w:tcBorders>
            <w:shd w:fill="FFFFFF"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ABF3 v3</w:t>
            </w:r>
          </w:p>
        </w:tc>
        <w:tc>
          <w:tcPr>
            <w:tcW w:w="1699" w:type="dxa"/>
            <w:tcBorders>
              <w:top w:val="single" w:sz="4" w:space="0" w:color="CCCCCC"/>
              <w:left w:val="single" w:sz="4" w:space="0" w:color="CCCCCC"/>
              <w:bottom w:val="single" w:sz="4" w:space="0" w:color="CCCCCC"/>
              <w:right w:val="single" w:sz="4" w:space="0" w:color="CCCCCC"/>
            </w:tcBorders>
            <w:shd w:fill="FFFFFF"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A. thaliana</w:t>
            </w:r>
          </w:p>
        </w:tc>
        <w:tc>
          <w:tcPr>
            <w:tcW w:w="1402" w:type="dxa"/>
            <w:tcBorders>
              <w:top w:val="single" w:sz="4" w:space="0" w:color="CCCCCC"/>
              <w:left w:val="single" w:sz="4" w:space="0" w:color="CCCCCC"/>
              <w:bottom w:val="single" w:sz="4" w:space="0" w:color="CCCCCC"/>
              <w:right w:val="single" w:sz="4" w:space="0" w:color="CCCCCC"/>
            </w:tcBorders>
            <w:shd w:fill="FFFFFF"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ChIP-seq</w:t>
            </w:r>
          </w:p>
        </w:tc>
        <w:tc>
          <w:tcPr>
            <w:tcW w:w="1199" w:type="dxa"/>
            <w:tcBorders>
              <w:top w:val="single" w:sz="4" w:space="0" w:color="CCCCCC"/>
              <w:left w:val="single" w:sz="4" w:space="0" w:color="CCCCCC"/>
              <w:bottom w:val="single" w:sz="4" w:space="0" w:color="CCCCCC"/>
              <w:right w:val="single" w:sz="4" w:space="0" w:color="CCCCCC"/>
            </w:tcBorders>
            <w:shd w:fill="FFFFFF"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11005831</w:t>
            </w:r>
          </w:p>
        </w:tc>
        <w:tc>
          <w:tcPr>
            <w:tcW w:w="2559" w:type="dxa"/>
            <w:tcBorders>
              <w:top w:val="single" w:sz="4" w:space="0" w:color="CCCCCC"/>
              <w:left w:val="single" w:sz="4" w:space="0" w:color="CCCCCC"/>
              <w:bottom w:val="single" w:sz="4" w:space="0" w:color="CCCCCC"/>
              <w:right w:val="single" w:sz="4" w:space="0" w:color="CCCCCC"/>
            </w:tcBorders>
            <w:shd w:fill="FFFFFF" w:val="clear"/>
            <w:tcMar>
              <w:top w:w="60" w:type="dxa"/>
              <w:left w:w="100" w:type="dxa"/>
              <w:bottom w:w="60" w:type="dxa"/>
              <w:right w:w="100" w:type="dxa"/>
            </w:tcMar>
            <w:vAlign w:val="center"/>
          </w:tcPr>
          <w:p>
            <w:pPr>
              <w:pStyle w:val="Normal"/>
              <w:widowControl w:val="false"/>
              <w:jc w:val="left"/>
              <w:rPr/>
            </w:pPr>
            <w:r>
              <w:rPr>
                <w:rFonts w:eastAsia="Courier New" w:cs="Courier New" w:ascii="Courier New" w:hAnsi="Courier New"/>
                <w:b w:val="false"/>
                <w:bCs w:val="false"/>
                <w:color w:val="1E3A5F"/>
                <w:sz w:val="18"/>
                <w:szCs w:val="18"/>
              </w:rPr>
              <w:t>GACACGTGT</w:t>
            </w:r>
          </w:p>
        </w:tc>
      </w:tr>
      <w:tr>
        <w:trPr/>
        <w:tc>
          <w:tcPr>
            <w:tcW w:w="1300" w:type="dxa"/>
            <w:tcBorders>
              <w:top w:val="single" w:sz="4" w:space="0" w:color="CCCCCC"/>
              <w:left w:val="single" w:sz="4" w:space="0" w:color="CCCCCC"/>
              <w:bottom w:val="single" w:sz="4" w:space="0" w:color="CCCCCC"/>
              <w:right w:val="single" w:sz="4" w:space="0" w:color="CCCCCC"/>
            </w:tcBorders>
            <w:shd w:fill="F0F4F8"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MA0931.1</w:t>
            </w:r>
          </w:p>
        </w:tc>
        <w:tc>
          <w:tcPr>
            <w:tcW w:w="1200" w:type="dxa"/>
            <w:tcBorders>
              <w:top w:val="single" w:sz="4" w:space="0" w:color="CCCCCC"/>
              <w:left w:val="single" w:sz="4" w:space="0" w:color="CCCCCC"/>
              <w:bottom w:val="single" w:sz="4" w:space="0" w:color="CCCCCC"/>
              <w:right w:val="single" w:sz="4" w:space="0" w:color="CCCCCC"/>
            </w:tcBorders>
            <w:shd w:fill="F0F4F8"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ABI5 v1</w:t>
            </w:r>
          </w:p>
        </w:tc>
        <w:tc>
          <w:tcPr>
            <w:tcW w:w="1699" w:type="dxa"/>
            <w:tcBorders>
              <w:top w:val="single" w:sz="4" w:space="0" w:color="CCCCCC"/>
              <w:left w:val="single" w:sz="4" w:space="0" w:color="CCCCCC"/>
              <w:bottom w:val="single" w:sz="4" w:space="0" w:color="CCCCCC"/>
              <w:right w:val="single" w:sz="4" w:space="0" w:color="CCCCCC"/>
            </w:tcBorders>
            <w:shd w:fill="F0F4F8"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A. thaliana</w:t>
            </w:r>
          </w:p>
        </w:tc>
        <w:tc>
          <w:tcPr>
            <w:tcW w:w="1402" w:type="dxa"/>
            <w:tcBorders>
              <w:top w:val="single" w:sz="4" w:space="0" w:color="CCCCCC"/>
              <w:left w:val="single" w:sz="4" w:space="0" w:color="CCCCCC"/>
              <w:bottom w:val="single" w:sz="4" w:space="0" w:color="CCCCCC"/>
              <w:right w:val="single" w:sz="4" w:space="0" w:color="CCCCCC"/>
            </w:tcBorders>
            <w:shd w:fill="F0F4F8"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PBM</w:t>
            </w:r>
          </w:p>
        </w:tc>
        <w:tc>
          <w:tcPr>
            <w:tcW w:w="1199" w:type="dxa"/>
            <w:tcBorders>
              <w:top w:val="single" w:sz="4" w:space="0" w:color="CCCCCC"/>
              <w:left w:val="single" w:sz="4" w:space="0" w:color="CCCCCC"/>
              <w:bottom w:val="single" w:sz="4" w:space="0" w:color="CCCCCC"/>
              <w:right w:val="single" w:sz="4" w:space="0" w:color="CCCCCC"/>
            </w:tcBorders>
            <w:shd w:fill="F0F4F8"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12376636</w:t>
            </w:r>
          </w:p>
        </w:tc>
        <w:tc>
          <w:tcPr>
            <w:tcW w:w="2559" w:type="dxa"/>
            <w:tcBorders>
              <w:top w:val="single" w:sz="4" w:space="0" w:color="CCCCCC"/>
              <w:left w:val="single" w:sz="4" w:space="0" w:color="CCCCCC"/>
              <w:bottom w:val="single" w:sz="4" w:space="0" w:color="CCCCCC"/>
              <w:right w:val="single" w:sz="4" w:space="0" w:color="CCCCCC"/>
            </w:tcBorders>
            <w:shd w:fill="F0F4F8" w:val="clear"/>
            <w:tcMar>
              <w:top w:w="60" w:type="dxa"/>
              <w:left w:w="100" w:type="dxa"/>
              <w:bottom w:w="60" w:type="dxa"/>
              <w:right w:w="100" w:type="dxa"/>
            </w:tcMar>
            <w:vAlign w:val="center"/>
          </w:tcPr>
          <w:p>
            <w:pPr>
              <w:pStyle w:val="Normal"/>
              <w:widowControl w:val="false"/>
              <w:jc w:val="left"/>
              <w:rPr/>
            </w:pPr>
            <w:r>
              <w:rPr>
                <w:rFonts w:eastAsia="Courier New" w:cs="Courier New" w:ascii="Courier New" w:hAnsi="Courier New"/>
                <w:b w:val="false"/>
                <w:bCs w:val="false"/>
                <w:color w:val="1E3A5F"/>
                <w:sz w:val="18"/>
                <w:szCs w:val="18"/>
              </w:rPr>
              <w:t>GGCACGTGGC</w:t>
            </w:r>
          </w:p>
        </w:tc>
      </w:tr>
      <w:tr>
        <w:trPr/>
        <w:tc>
          <w:tcPr>
            <w:tcW w:w="1300" w:type="dxa"/>
            <w:tcBorders>
              <w:top w:val="single" w:sz="4" w:space="0" w:color="CCCCCC"/>
              <w:left w:val="single" w:sz="4" w:space="0" w:color="CCCCCC"/>
              <w:bottom w:val="single" w:sz="4" w:space="0" w:color="CCCCCC"/>
              <w:right w:val="single" w:sz="4" w:space="0" w:color="CCCCCC"/>
            </w:tcBorders>
            <w:shd w:fill="FFFFFF"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MA0931.2</w:t>
            </w:r>
          </w:p>
        </w:tc>
        <w:tc>
          <w:tcPr>
            <w:tcW w:w="1200" w:type="dxa"/>
            <w:tcBorders>
              <w:top w:val="single" w:sz="4" w:space="0" w:color="CCCCCC"/>
              <w:left w:val="single" w:sz="4" w:space="0" w:color="CCCCCC"/>
              <w:bottom w:val="single" w:sz="4" w:space="0" w:color="CCCCCC"/>
              <w:right w:val="single" w:sz="4" w:space="0" w:color="CCCCCC"/>
            </w:tcBorders>
            <w:shd w:fill="FFFFFF"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ABI5 v2</w:t>
            </w:r>
          </w:p>
        </w:tc>
        <w:tc>
          <w:tcPr>
            <w:tcW w:w="1699" w:type="dxa"/>
            <w:tcBorders>
              <w:top w:val="single" w:sz="4" w:space="0" w:color="CCCCCC"/>
              <w:left w:val="single" w:sz="4" w:space="0" w:color="CCCCCC"/>
              <w:bottom w:val="single" w:sz="4" w:space="0" w:color="CCCCCC"/>
              <w:right w:val="single" w:sz="4" w:space="0" w:color="CCCCCC"/>
            </w:tcBorders>
            <w:shd w:fill="FFFFFF"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A. thaliana</w:t>
            </w:r>
          </w:p>
        </w:tc>
        <w:tc>
          <w:tcPr>
            <w:tcW w:w="1402" w:type="dxa"/>
            <w:tcBorders>
              <w:top w:val="single" w:sz="4" w:space="0" w:color="CCCCCC"/>
              <w:left w:val="single" w:sz="4" w:space="0" w:color="CCCCCC"/>
              <w:bottom w:val="single" w:sz="4" w:space="0" w:color="CCCCCC"/>
              <w:right w:val="single" w:sz="4" w:space="0" w:color="CCCCCC"/>
            </w:tcBorders>
            <w:shd w:fill="FFFFFF"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PBM</w:t>
            </w:r>
          </w:p>
        </w:tc>
        <w:tc>
          <w:tcPr>
            <w:tcW w:w="1199" w:type="dxa"/>
            <w:tcBorders>
              <w:top w:val="single" w:sz="4" w:space="0" w:color="CCCCCC"/>
              <w:left w:val="single" w:sz="4" w:space="0" w:color="CCCCCC"/>
              <w:bottom w:val="single" w:sz="4" w:space="0" w:color="CCCCCC"/>
              <w:right w:val="single" w:sz="4" w:space="0" w:color="CCCCCC"/>
            </w:tcBorders>
            <w:shd w:fill="FFFFFF"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12376636</w:t>
            </w:r>
          </w:p>
        </w:tc>
        <w:tc>
          <w:tcPr>
            <w:tcW w:w="2559" w:type="dxa"/>
            <w:tcBorders>
              <w:top w:val="single" w:sz="4" w:space="0" w:color="CCCCCC"/>
              <w:left w:val="single" w:sz="4" w:space="0" w:color="CCCCCC"/>
              <w:bottom w:val="single" w:sz="4" w:space="0" w:color="CCCCCC"/>
              <w:right w:val="single" w:sz="4" w:space="0" w:color="CCCCCC"/>
            </w:tcBorders>
            <w:shd w:fill="FFFFFF" w:val="clear"/>
            <w:tcMar>
              <w:top w:w="60" w:type="dxa"/>
              <w:left w:w="100" w:type="dxa"/>
              <w:bottom w:w="60" w:type="dxa"/>
              <w:right w:w="100" w:type="dxa"/>
            </w:tcMar>
            <w:vAlign w:val="center"/>
          </w:tcPr>
          <w:p>
            <w:pPr>
              <w:pStyle w:val="Normal"/>
              <w:widowControl w:val="false"/>
              <w:jc w:val="left"/>
              <w:rPr/>
            </w:pPr>
            <w:r>
              <w:rPr>
                <w:rFonts w:eastAsia="Courier New" w:cs="Courier New" w:ascii="Courier New" w:hAnsi="Courier New"/>
                <w:b w:val="false"/>
                <w:bCs w:val="false"/>
                <w:color w:val="1E3A5F"/>
                <w:sz w:val="18"/>
                <w:szCs w:val="18"/>
              </w:rPr>
              <w:t>GCACGTGT</w:t>
            </w:r>
          </w:p>
        </w:tc>
      </w:tr>
      <w:tr>
        <w:trPr/>
        <w:tc>
          <w:tcPr>
            <w:tcW w:w="1300" w:type="dxa"/>
            <w:tcBorders>
              <w:top w:val="single" w:sz="4" w:space="0" w:color="CCCCCC"/>
              <w:left w:val="single" w:sz="4" w:space="0" w:color="CCCCCC"/>
              <w:bottom w:val="single" w:sz="4" w:space="0" w:color="CCCCCC"/>
              <w:right w:val="single" w:sz="4" w:space="0" w:color="CCCCCC"/>
            </w:tcBorders>
            <w:shd w:fill="F0F4F8"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MA0941.1</w:t>
            </w:r>
          </w:p>
        </w:tc>
        <w:tc>
          <w:tcPr>
            <w:tcW w:w="1200" w:type="dxa"/>
            <w:tcBorders>
              <w:top w:val="single" w:sz="4" w:space="0" w:color="CCCCCC"/>
              <w:left w:val="single" w:sz="4" w:space="0" w:color="CCCCCC"/>
              <w:bottom w:val="single" w:sz="4" w:space="0" w:color="CCCCCC"/>
              <w:right w:val="single" w:sz="4" w:space="0" w:color="CCCCCC"/>
            </w:tcBorders>
            <w:shd w:fill="F0F4F8"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ABF2</w:t>
            </w:r>
          </w:p>
        </w:tc>
        <w:tc>
          <w:tcPr>
            <w:tcW w:w="1699" w:type="dxa"/>
            <w:tcBorders>
              <w:top w:val="single" w:sz="4" w:space="0" w:color="CCCCCC"/>
              <w:left w:val="single" w:sz="4" w:space="0" w:color="CCCCCC"/>
              <w:bottom w:val="single" w:sz="4" w:space="0" w:color="CCCCCC"/>
              <w:right w:val="single" w:sz="4" w:space="0" w:color="CCCCCC"/>
            </w:tcBorders>
            <w:shd w:fill="F0F4F8"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A. thaliana</w:t>
            </w:r>
          </w:p>
        </w:tc>
        <w:tc>
          <w:tcPr>
            <w:tcW w:w="1402" w:type="dxa"/>
            <w:tcBorders>
              <w:top w:val="single" w:sz="4" w:space="0" w:color="CCCCCC"/>
              <w:left w:val="single" w:sz="4" w:space="0" w:color="CCCCCC"/>
              <w:bottom w:val="single" w:sz="4" w:space="0" w:color="CCCCCC"/>
              <w:right w:val="single" w:sz="4" w:space="0" w:color="CCCCCC"/>
            </w:tcBorders>
            <w:shd w:fill="F0F4F8"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PBM</w:t>
            </w:r>
          </w:p>
        </w:tc>
        <w:tc>
          <w:tcPr>
            <w:tcW w:w="1199" w:type="dxa"/>
            <w:tcBorders>
              <w:top w:val="single" w:sz="4" w:space="0" w:color="CCCCCC"/>
              <w:left w:val="single" w:sz="4" w:space="0" w:color="CCCCCC"/>
              <w:bottom w:val="single" w:sz="4" w:space="0" w:color="CCCCCC"/>
              <w:right w:val="single" w:sz="4" w:space="0" w:color="CCCCCC"/>
            </w:tcBorders>
            <w:shd w:fill="F0F4F8"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11005831</w:t>
            </w:r>
          </w:p>
        </w:tc>
        <w:tc>
          <w:tcPr>
            <w:tcW w:w="2559" w:type="dxa"/>
            <w:tcBorders>
              <w:top w:val="single" w:sz="4" w:space="0" w:color="CCCCCC"/>
              <w:left w:val="single" w:sz="4" w:space="0" w:color="CCCCCC"/>
              <w:bottom w:val="single" w:sz="4" w:space="0" w:color="CCCCCC"/>
              <w:right w:val="single" w:sz="4" w:space="0" w:color="CCCCCC"/>
            </w:tcBorders>
            <w:shd w:fill="F0F4F8" w:val="clear"/>
            <w:tcMar>
              <w:top w:w="60" w:type="dxa"/>
              <w:left w:w="100" w:type="dxa"/>
              <w:bottom w:w="60" w:type="dxa"/>
              <w:right w:w="100" w:type="dxa"/>
            </w:tcMar>
            <w:vAlign w:val="center"/>
          </w:tcPr>
          <w:p>
            <w:pPr>
              <w:pStyle w:val="Normal"/>
              <w:widowControl w:val="false"/>
              <w:jc w:val="left"/>
              <w:rPr/>
            </w:pPr>
            <w:r>
              <w:rPr>
                <w:rFonts w:eastAsia="Courier New" w:cs="Courier New" w:ascii="Courier New" w:hAnsi="Courier New"/>
                <w:b w:val="false"/>
                <w:bCs w:val="false"/>
                <w:color w:val="1E3A5F"/>
                <w:sz w:val="18"/>
                <w:szCs w:val="18"/>
              </w:rPr>
              <w:t>GGCACGTGGCA</w:t>
            </w:r>
          </w:p>
        </w:tc>
      </w:tr>
      <w:tr>
        <w:trPr/>
        <w:tc>
          <w:tcPr>
            <w:tcW w:w="1300" w:type="dxa"/>
            <w:tcBorders>
              <w:top w:val="single" w:sz="4" w:space="0" w:color="CCCCCC"/>
              <w:left w:val="single" w:sz="4" w:space="0" w:color="CCCCCC"/>
              <w:bottom w:val="single" w:sz="4" w:space="0" w:color="CCCCCC"/>
              <w:right w:val="single" w:sz="4" w:space="0" w:color="CCCCCC"/>
            </w:tcBorders>
            <w:shd w:fill="FFFFFF"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MA1659.1</w:t>
            </w:r>
          </w:p>
        </w:tc>
        <w:tc>
          <w:tcPr>
            <w:tcW w:w="1200" w:type="dxa"/>
            <w:tcBorders>
              <w:top w:val="single" w:sz="4" w:space="0" w:color="CCCCCC"/>
              <w:left w:val="single" w:sz="4" w:space="0" w:color="CCCCCC"/>
              <w:bottom w:val="single" w:sz="4" w:space="0" w:color="CCCCCC"/>
              <w:right w:val="single" w:sz="4" w:space="0" w:color="CCCCCC"/>
            </w:tcBorders>
            <w:shd w:fill="FFFFFF"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ABF4 v1</w:t>
            </w:r>
          </w:p>
        </w:tc>
        <w:tc>
          <w:tcPr>
            <w:tcW w:w="1699" w:type="dxa"/>
            <w:tcBorders>
              <w:top w:val="single" w:sz="4" w:space="0" w:color="CCCCCC"/>
              <w:left w:val="single" w:sz="4" w:space="0" w:color="CCCCCC"/>
              <w:bottom w:val="single" w:sz="4" w:space="0" w:color="CCCCCC"/>
              <w:right w:val="single" w:sz="4" w:space="0" w:color="CCCCCC"/>
            </w:tcBorders>
            <w:shd w:fill="FFFFFF"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A. thaliana</w:t>
            </w:r>
          </w:p>
        </w:tc>
        <w:tc>
          <w:tcPr>
            <w:tcW w:w="1402" w:type="dxa"/>
            <w:tcBorders>
              <w:top w:val="single" w:sz="4" w:space="0" w:color="CCCCCC"/>
              <w:left w:val="single" w:sz="4" w:space="0" w:color="CCCCCC"/>
              <w:bottom w:val="single" w:sz="4" w:space="0" w:color="CCCCCC"/>
              <w:right w:val="single" w:sz="4" w:space="0" w:color="CCCCCC"/>
            </w:tcBorders>
            <w:shd w:fill="FFFFFF"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DAP-seq</w:t>
            </w:r>
          </w:p>
        </w:tc>
        <w:tc>
          <w:tcPr>
            <w:tcW w:w="1199" w:type="dxa"/>
            <w:tcBorders>
              <w:top w:val="single" w:sz="4" w:space="0" w:color="CCCCCC"/>
              <w:left w:val="single" w:sz="4" w:space="0" w:color="CCCCCC"/>
              <w:bottom w:val="single" w:sz="4" w:space="0" w:color="CCCCCC"/>
              <w:right w:val="single" w:sz="4" w:space="0" w:color="CCCCCC"/>
            </w:tcBorders>
            <w:shd w:fill="FFFFFF"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25220462</w:t>
            </w:r>
          </w:p>
        </w:tc>
        <w:tc>
          <w:tcPr>
            <w:tcW w:w="2559" w:type="dxa"/>
            <w:tcBorders>
              <w:top w:val="single" w:sz="4" w:space="0" w:color="CCCCCC"/>
              <w:left w:val="single" w:sz="4" w:space="0" w:color="CCCCCC"/>
              <w:bottom w:val="single" w:sz="4" w:space="0" w:color="CCCCCC"/>
              <w:right w:val="single" w:sz="4" w:space="0" w:color="CCCCCC"/>
            </w:tcBorders>
            <w:shd w:fill="FFFFFF" w:val="clear"/>
            <w:tcMar>
              <w:top w:w="60" w:type="dxa"/>
              <w:left w:w="100" w:type="dxa"/>
              <w:bottom w:w="60" w:type="dxa"/>
              <w:right w:w="100" w:type="dxa"/>
            </w:tcMar>
            <w:vAlign w:val="center"/>
          </w:tcPr>
          <w:p>
            <w:pPr>
              <w:pStyle w:val="Normal"/>
              <w:widowControl w:val="false"/>
              <w:jc w:val="left"/>
              <w:rPr/>
            </w:pPr>
            <w:r>
              <w:rPr>
                <w:rFonts w:eastAsia="Courier New" w:cs="Courier New" w:ascii="Courier New" w:hAnsi="Courier New"/>
                <w:b w:val="false"/>
                <w:bCs w:val="false"/>
                <w:color w:val="1E3A5F"/>
                <w:sz w:val="18"/>
                <w:szCs w:val="18"/>
              </w:rPr>
              <w:t>CCCACGTGGTG</w:t>
            </w:r>
          </w:p>
        </w:tc>
      </w:tr>
      <w:tr>
        <w:trPr/>
        <w:tc>
          <w:tcPr>
            <w:tcW w:w="1300" w:type="dxa"/>
            <w:tcBorders>
              <w:top w:val="single" w:sz="4" w:space="0" w:color="CCCCCC"/>
              <w:left w:val="single" w:sz="4" w:space="0" w:color="CCCCCC"/>
              <w:bottom w:val="single" w:sz="4" w:space="0" w:color="CCCCCC"/>
              <w:right w:val="single" w:sz="4" w:space="0" w:color="CCCCCC"/>
            </w:tcBorders>
            <w:shd w:fill="F0F4F8"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MA1659.2</w:t>
            </w:r>
          </w:p>
        </w:tc>
        <w:tc>
          <w:tcPr>
            <w:tcW w:w="1200" w:type="dxa"/>
            <w:tcBorders>
              <w:top w:val="single" w:sz="4" w:space="0" w:color="CCCCCC"/>
              <w:left w:val="single" w:sz="4" w:space="0" w:color="CCCCCC"/>
              <w:bottom w:val="single" w:sz="4" w:space="0" w:color="CCCCCC"/>
              <w:right w:val="single" w:sz="4" w:space="0" w:color="CCCCCC"/>
            </w:tcBorders>
            <w:shd w:fill="F0F4F8"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ABF4 v2</w:t>
            </w:r>
          </w:p>
        </w:tc>
        <w:tc>
          <w:tcPr>
            <w:tcW w:w="1699" w:type="dxa"/>
            <w:tcBorders>
              <w:top w:val="single" w:sz="4" w:space="0" w:color="CCCCCC"/>
              <w:left w:val="single" w:sz="4" w:space="0" w:color="CCCCCC"/>
              <w:bottom w:val="single" w:sz="4" w:space="0" w:color="CCCCCC"/>
              <w:right w:val="single" w:sz="4" w:space="0" w:color="CCCCCC"/>
            </w:tcBorders>
            <w:shd w:fill="F0F4F8"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A. thaliana</w:t>
            </w:r>
          </w:p>
        </w:tc>
        <w:tc>
          <w:tcPr>
            <w:tcW w:w="1402" w:type="dxa"/>
            <w:tcBorders>
              <w:top w:val="single" w:sz="4" w:space="0" w:color="CCCCCC"/>
              <w:left w:val="single" w:sz="4" w:space="0" w:color="CCCCCC"/>
              <w:bottom w:val="single" w:sz="4" w:space="0" w:color="CCCCCC"/>
              <w:right w:val="single" w:sz="4" w:space="0" w:color="CCCCCC"/>
            </w:tcBorders>
            <w:shd w:fill="F0F4F8"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DAP-seq</w:t>
            </w:r>
          </w:p>
        </w:tc>
        <w:tc>
          <w:tcPr>
            <w:tcW w:w="1199" w:type="dxa"/>
            <w:tcBorders>
              <w:top w:val="single" w:sz="4" w:space="0" w:color="CCCCCC"/>
              <w:left w:val="single" w:sz="4" w:space="0" w:color="CCCCCC"/>
              <w:bottom w:val="single" w:sz="4" w:space="0" w:color="CCCCCC"/>
              <w:right w:val="single" w:sz="4" w:space="0" w:color="CCCCCC"/>
            </w:tcBorders>
            <w:shd w:fill="F0F4F8"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25220462</w:t>
            </w:r>
          </w:p>
        </w:tc>
        <w:tc>
          <w:tcPr>
            <w:tcW w:w="2559" w:type="dxa"/>
            <w:tcBorders>
              <w:top w:val="single" w:sz="4" w:space="0" w:color="CCCCCC"/>
              <w:left w:val="single" w:sz="4" w:space="0" w:color="CCCCCC"/>
              <w:bottom w:val="single" w:sz="4" w:space="0" w:color="CCCCCC"/>
              <w:right w:val="single" w:sz="4" w:space="0" w:color="CCCCCC"/>
            </w:tcBorders>
            <w:shd w:fill="F0F4F8" w:val="clear"/>
            <w:tcMar>
              <w:top w:w="60" w:type="dxa"/>
              <w:left w:w="100" w:type="dxa"/>
              <w:bottom w:w="60" w:type="dxa"/>
              <w:right w:w="100" w:type="dxa"/>
            </w:tcMar>
            <w:vAlign w:val="center"/>
          </w:tcPr>
          <w:p>
            <w:pPr>
              <w:pStyle w:val="Normal"/>
              <w:widowControl w:val="false"/>
              <w:jc w:val="left"/>
              <w:rPr/>
            </w:pPr>
            <w:r>
              <w:rPr>
                <w:rFonts w:eastAsia="Courier New" w:cs="Courier New" w:ascii="Courier New" w:hAnsi="Courier New"/>
                <w:b w:val="false"/>
                <w:bCs w:val="false"/>
                <w:color w:val="1E3A5F"/>
                <w:sz w:val="18"/>
                <w:szCs w:val="18"/>
              </w:rPr>
              <w:t>CCCACGTG</w:t>
            </w:r>
          </w:p>
        </w:tc>
      </w:tr>
      <w:tr>
        <w:trPr/>
        <w:tc>
          <w:tcPr>
            <w:tcW w:w="1300" w:type="dxa"/>
            <w:tcBorders>
              <w:top w:val="single" w:sz="4" w:space="0" w:color="CCCCCC"/>
              <w:left w:val="single" w:sz="4" w:space="0" w:color="CCCCCC"/>
              <w:bottom w:val="single" w:sz="4" w:space="0" w:color="CCCCCC"/>
              <w:right w:val="single" w:sz="4" w:space="0" w:color="CCCCCC"/>
            </w:tcBorders>
            <w:shd w:fill="FFFFFF"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MA0564.1</w:t>
            </w:r>
          </w:p>
        </w:tc>
        <w:tc>
          <w:tcPr>
            <w:tcW w:w="1200" w:type="dxa"/>
            <w:tcBorders>
              <w:top w:val="single" w:sz="4" w:space="0" w:color="CCCCCC"/>
              <w:left w:val="single" w:sz="4" w:space="0" w:color="CCCCCC"/>
              <w:bottom w:val="single" w:sz="4" w:space="0" w:color="CCCCCC"/>
              <w:right w:val="single" w:sz="4" w:space="0" w:color="CCCCCC"/>
            </w:tcBorders>
            <w:shd w:fill="FFFFFF"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ABI3 v1</w:t>
            </w:r>
          </w:p>
        </w:tc>
        <w:tc>
          <w:tcPr>
            <w:tcW w:w="1699" w:type="dxa"/>
            <w:tcBorders>
              <w:top w:val="single" w:sz="4" w:space="0" w:color="CCCCCC"/>
              <w:left w:val="single" w:sz="4" w:space="0" w:color="CCCCCC"/>
              <w:bottom w:val="single" w:sz="4" w:space="0" w:color="CCCCCC"/>
              <w:right w:val="single" w:sz="4" w:space="0" w:color="CCCCCC"/>
            </w:tcBorders>
            <w:shd w:fill="FFFFFF"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A. thaliana</w:t>
            </w:r>
          </w:p>
        </w:tc>
        <w:tc>
          <w:tcPr>
            <w:tcW w:w="1402" w:type="dxa"/>
            <w:tcBorders>
              <w:top w:val="single" w:sz="4" w:space="0" w:color="CCCCCC"/>
              <w:left w:val="single" w:sz="4" w:space="0" w:color="CCCCCC"/>
              <w:bottom w:val="single" w:sz="4" w:space="0" w:color="CCCCCC"/>
              <w:right w:val="single" w:sz="4" w:space="0" w:color="CCCCCC"/>
            </w:tcBorders>
            <w:shd w:fill="FFFFFF"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PBM</w:t>
            </w:r>
          </w:p>
        </w:tc>
        <w:tc>
          <w:tcPr>
            <w:tcW w:w="1199" w:type="dxa"/>
            <w:tcBorders>
              <w:top w:val="single" w:sz="4" w:space="0" w:color="CCCCCC"/>
              <w:left w:val="single" w:sz="4" w:space="0" w:color="CCCCCC"/>
              <w:bottom w:val="single" w:sz="4" w:space="0" w:color="CCCCCC"/>
              <w:right w:val="single" w:sz="4" w:space="0" w:color="CCCCCC"/>
            </w:tcBorders>
            <w:shd w:fill="FFFFFF"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30183137</w:t>
            </w:r>
          </w:p>
        </w:tc>
        <w:tc>
          <w:tcPr>
            <w:tcW w:w="2559" w:type="dxa"/>
            <w:tcBorders>
              <w:top w:val="single" w:sz="4" w:space="0" w:color="CCCCCC"/>
              <w:left w:val="single" w:sz="4" w:space="0" w:color="CCCCCC"/>
              <w:bottom w:val="single" w:sz="4" w:space="0" w:color="CCCCCC"/>
              <w:right w:val="single" w:sz="4" w:space="0" w:color="CCCCCC"/>
            </w:tcBorders>
            <w:shd w:fill="FFFFFF" w:val="clear"/>
            <w:tcMar>
              <w:top w:w="60" w:type="dxa"/>
              <w:left w:w="100" w:type="dxa"/>
              <w:bottom w:w="60" w:type="dxa"/>
              <w:right w:w="100" w:type="dxa"/>
            </w:tcMar>
            <w:vAlign w:val="center"/>
          </w:tcPr>
          <w:p>
            <w:pPr>
              <w:pStyle w:val="Normal"/>
              <w:widowControl w:val="false"/>
              <w:jc w:val="left"/>
              <w:rPr/>
            </w:pPr>
            <w:r>
              <w:rPr>
                <w:rFonts w:eastAsia="Courier New" w:cs="Courier New" w:ascii="Courier New" w:hAnsi="Courier New"/>
                <w:b w:val="false"/>
                <w:bCs w:val="false"/>
                <w:color w:val="1E3A5F"/>
                <w:sz w:val="18"/>
                <w:szCs w:val="18"/>
              </w:rPr>
              <w:t>CTCATGTCG</w:t>
            </w:r>
          </w:p>
        </w:tc>
      </w:tr>
      <w:tr>
        <w:trPr/>
        <w:tc>
          <w:tcPr>
            <w:tcW w:w="1300" w:type="dxa"/>
            <w:tcBorders>
              <w:top w:val="single" w:sz="4" w:space="0" w:color="CCCCCC"/>
              <w:left w:val="single" w:sz="4" w:space="0" w:color="CCCCCC"/>
              <w:bottom w:val="single" w:sz="4" w:space="0" w:color="CCCCCC"/>
              <w:right w:val="single" w:sz="4" w:space="0" w:color="CCCCCC"/>
            </w:tcBorders>
            <w:shd w:fill="F0F4F8"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MA0564.2</w:t>
            </w:r>
          </w:p>
        </w:tc>
        <w:tc>
          <w:tcPr>
            <w:tcW w:w="1200" w:type="dxa"/>
            <w:tcBorders>
              <w:top w:val="single" w:sz="4" w:space="0" w:color="CCCCCC"/>
              <w:left w:val="single" w:sz="4" w:space="0" w:color="CCCCCC"/>
              <w:bottom w:val="single" w:sz="4" w:space="0" w:color="CCCCCC"/>
              <w:right w:val="single" w:sz="4" w:space="0" w:color="CCCCCC"/>
            </w:tcBorders>
            <w:shd w:fill="F0F4F8"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ABI3 v2</w:t>
            </w:r>
          </w:p>
        </w:tc>
        <w:tc>
          <w:tcPr>
            <w:tcW w:w="1699" w:type="dxa"/>
            <w:tcBorders>
              <w:top w:val="single" w:sz="4" w:space="0" w:color="CCCCCC"/>
              <w:left w:val="single" w:sz="4" w:space="0" w:color="CCCCCC"/>
              <w:bottom w:val="single" w:sz="4" w:space="0" w:color="CCCCCC"/>
              <w:right w:val="single" w:sz="4" w:space="0" w:color="CCCCCC"/>
            </w:tcBorders>
            <w:shd w:fill="F0F4F8"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A. thaliana</w:t>
            </w:r>
          </w:p>
        </w:tc>
        <w:tc>
          <w:tcPr>
            <w:tcW w:w="1402" w:type="dxa"/>
            <w:tcBorders>
              <w:top w:val="single" w:sz="4" w:space="0" w:color="CCCCCC"/>
              <w:left w:val="single" w:sz="4" w:space="0" w:color="CCCCCC"/>
              <w:bottom w:val="single" w:sz="4" w:space="0" w:color="CCCCCC"/>
              <w:right w:val="single" w:sz="4" w:space="0" w:color="CCCCCC"/>
            </w:tcBorders>
            <w:shd w:fill="F0F4F8"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PBM</w:t>
            </w:r>
          </w:p>
        </w:tc>
        <w:tc>
          <w:tcPr>
            <w:tcW w:w="1199" w:type="dxa"/>
            <w:tcBorders>
              <w:top w:val="single" w:sz="4" w:space="0" w:color="CCCCCC"/>
              <w:left w:val="single" w:sz="4" w:space="0" w:color="CCCCCC"/>
              <w:bottom w:val="single" w:sz="4" w:space="0" w:color="CCCCCC"/>
              <w:right w:val="single" w:sz="4" w:space="0" w:color="CCCCCC"/>
            </w:tcBorders>
            <w:shd w:fill="F0F4F8"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30183137</w:t>
            </w:r>
          </w:p>
        </w:tc>
        <w:tc>
          <w:tcPr>
            <w:tcW w:w="2559" w:type="dxa"/>
            <w:tcBorders>
              <w:top w:val="single" w:sz="4" w:space="0" w:color="CCCCCC"/>
              <w:left w:val="single" w:sz="4" w:space="0" w:color="CCCCCC"/>
              <w:bottom w:val="single" w:sz="4" w:space="0" w:color="CCCCCC"/>
              <w:right w:val="single" w:sz="4" w:space="0" w:color="CCCCCC"/>
            </w:tcBorders>
            <w:shd w:fill="F0F4F8" w:val="clear"/>
            <w:tcMar>
              <w:top w:w="60" w:type="dxa"/>
              <w:left w:w="100" w:type="dxa"/>
              <w:bottom w:w="60" w:type="dxa"/>
              <w:right w:w="100" w:type="dxa"/>
            </w:tcMar>
            <w:vAlign w:val="center"/>
          </w:tcPr>
          <w:p>
            <w:pPr>
              <w:pStyle w:val="Normal"/>
              <w:widowControl w:val="false"/>
              <w:jc w:val="left"/>
              <w:rPr/>
            </w:pPr>
            <w:r>
              <w:rPr>
                <w:rFonts w:eastAsia="Courier New" w:cs="Courier New" w:ascii="Courier New" w:hAnsi="Courier New"/>
                <w:b w:val="false"/>
                <w:bCs w:val="false"/>
                <w:color w:val="1E3A5F"/>
                <w:sz w:val="18"/>
                <w:szCs w:val="18"/>
              </w:rPr>
              <w:t>GCATGT</w:t>
            </w:r>
          </w:p>
        </w:tc>
      </w:tr>
      <w:tr>
        <w:trPr/>
        <w:tc>
          <w:tcPr>
            <w:tcW w:w="1300" w:type="dxa"/>
            <w:tcBorders>
              <w:top w:val="single" w:sz="4" w:space="0" w:color="CCCCCC"/>
              <w:left w:val="single" w:sz="4" w:space="0" w:color="CCCCCC"/>
              <w:bottom w:val="single" w:sz="4" w:space="0" w:color="CCCCCC"/>
              <w:right w:val="single" w:sz="4" w:space="0" w:color="CCCCCC"/>
            </w:tcBorders>
            <w:shd w:fill="FFFFFF"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MA1244.1</w:t>
            </w:r>
          </w:p>
        </w:tc>
        <w:tc>
          <w:tcPr>
            <w:tcW w:w="1200" w:type="dxa"/>
            <w:tcBorders>
              <w:top w:val="single" w:sz="4" w:space="0" w:color="CCCCCC"/>
              <w:left w:val="single" w:sz="4" w:space="0" w:color="CCCCCC"/>
              <w:bottom w:val="single" w:sz="4" w:space="0" w:color="CCCCCC"/>
              <w:right w:val="single" w:sz="4" w:space="0" w:color="CCCCCC"/>
            </w:tcBorders>
            <w:shd w:fill="FFFFFF"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ABR1</w:t>
            </w:r>
          </w:p>
        </w:tc>
        <w:tc>
          <w:tcPr>
            <w:tcW w:w="1699" w:type="dxa"/>
            <w:tcBorders>
              <w:top w:val="single" w:sz="4" w:space="0" w:color="CCCCCC"/>
              <w:left w:val="single" w:sz="4" w:space="0" w:color="CCCCCC"/>
              <w:bottom w:val="single" w:sz="4" w:space="0" w:color="CCCCCC"/>
              <w:right w:val="single" w:sz="4" w:space="0" w:color="CCCCCC"/>
            </w:tcBorders>
            <w:shd w:fill="FFFFFF"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A. thaliana</w:t>
            </w:r>
          </w:p>
        </w:tc>
        <w:tc>
          <w:tcPr>
            <w:tcW w:w="1402" w:type="dxa"/>
            <w:tcBorders>
              <w:top w:val="single" w:sz="4" w:space="0" w:color="CCCCCC"/>
              <w:left w:val="single" w:sz="4" w:space="0" w:color="CCCCCC"/>
              <w:bottom w:val="single" w:sz="4" w:space="0" w:color="CCCCCC"/>
              <w:right w:val="single" w:sz="4" w:space="0" w:color="CCCCCC"/>
            </w:tcBorders>
            <w:shd w:fill="FFFFFF"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DAP-seq</w:t>
            </w:r>
          </w:p>
        </w:tc>
        <w:tc>
          <w:tcPr>
            <w:tcW w:w="1199" w:type="dxa"/>
            <w:tcBorders>
              <w:top w:val="single" w:sz="4" w:space="0" w:color="CCCCCC"/>
              <w:left w:val="single" w:sz="4" w:space="0" w:color="CCCCCC"/>
              <w:bottom w:val="single" w:sz="4" w:space="0" w:color="CCCCCC"/>
              <w:right w:val="single" w:sz="4" w:space="0" w:color="CCCCCC"/>
            </w:tcBorders>
            <w:shd w:fill="FFFFFF"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9756931</w:t>
            </w:r>
          </w:p>
        </w:tc>
        <w:tc>
          <w:tcPr>
            <w:tcW w:w="2559" w:type="dxa"/>
            <w:tcBorders>
              <w:top w:val="single" w:sz="4" w:space="0" w:color="CCCCCC"/>
              <w:left w:val="single" w:sz="4" w:space="0" w:color="CCCCCC"/>
              <w:bottom w:val="single" w:sz="4" w:space="0" w:color="CCCCCC"/>
              <w:right w:val="single" w:sz="4" w:space="0" w:color="CCCCCC"/>
            </w:tcBorders>
            <w:shd w:fill="FFFFFF" w:val="clear"/>
            <w:tcMar>
              <w:top w:w="60" w:type="dxa"/>
              <w:left w:w="100" w:type="dxa"/>
              <w:bottom w:w="60" w:type="dxa"/>
              <w:right w:w="100" w:type="dxa"/>
            </w:tcMar>
            <w:vAlign w:val="center"/>
          </w:tcPr>
          <w:p>
            <w:pPr>
              <w:pStyle w:val="Normal"/>
              <w:widowControl w:val="false"/>
              <w:jc w:val="left"/>
              <w:rPr/>
            </w:pPr>
            <w:r>
              <w:rPr>
                <w:rFonts w:eastAsia="Courier New" w:cs="Courier New" w:ascii="Courier New" w:hAnsi="Courier New"/>
                <w:b w:val="false"/>
                <w:bCs w:val="false"/>
                <w:color w:val="1E3A5F"/>
                <w:sz w:val="18"/>
                <w:szCs w:val="18"/>
              </w:rPr>
              <w:t>GCCACGTGTGG</w:t>
            </w:r>
          </w:p>
        </w:tc>
      </w:tr>
      <w:tr>
        <w:trPr/>
        <w:tc>
          <w:tcPr>
            <w:tcW w:w="1300" w:type="dxa"/>
            <w:tcBorders>
              <w:top w:val="single" w:sz="4" w:space="0" w:color="CCCCCC"/>
              <w:left w:val="single" w:sz="4" w:space="0" w:color="CCCCCC"/>
              <w:bottom w:val="single" w:sz="4" w:space="0" w:color="CCCCCC"/>
              <w:right w:val="single" w:sz="4" w:space="0" w:color="CCCCCC"/>
            </w:tcBorders>
            <w:shd w:fill="F0F4F8"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MA0020.2</w:t>
            </w:r>
          </w:p>
        </w:tc>
        <w:tc>
          <w:tcPr>
            <w:tcW w:w="1200" w:type="dxa"/>
            <w:tcBorders>
              <w:top w:val="single" w:sz="4" w:space="0" w:color="CCCCCC"/>
              <w:left w:val="single" w:sz="4" w:space="0" w:color="CCCCCC"/>
              <w:bottom w:val="single" w:sz="4" w:space="0" w:color="CCCCCC"/>
              <w:right w:val="single" w:sz="4" w:space="0" w:color="CCCCCC"/>
            </w:tcBorders>
            <w:shd w:fill="F0F4F8"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Dof2</w:t>
            </w:r>
          </w:p>
        </w:tc>
        <w:tc>
          <w:tcPr>
            <w:tcW w:w="1699" w:type="dxa"/>
            <w:tcBorders>
              <w:top w:val="single" w:sz="4" w:space="0" w:color="CCCCCC"/>
              <w:left w:val="single" w:sz="4" w:space="0" w:color="CCCCCC"/>
              <w:bottom w:val="single" w:sz="4" w:space="0" w:color="CCCCCC"/>
              <w:right w:val="single" w:sz="4" w:space="0" w:color="CCCCCC"/>
            </w:tcBorders>
            <w:shd w:fill="F0F4F8"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Zea mays</w:t>
            </w:r>
          </w:p>
        </w:tc>
        <w:tc>
          <w:tcPr>
            <w:tcW w:w="1402" w:type="dxa"/>
            <w:tcBorders>
              <w:top w:val="single" w:sz="4" w:space="0" w:color="CCCCCC"/>
              <w:left w:val="single" w:sz="4" w:space="0" w:color="CCCCCC"/>
              <w:bottom w:val="single" w:sz="4" w:space="0" w:color="CCCCCC"/>
              <w:right w:val="single" w:sz="4" w:space="0" w:color="CCCCCC"/>
            </w:tcBorders>
            <w:shd w:fill="F0F4F8"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SELEX</w:t>
            </w:r>
          </w:p>
        </w:tc>
        <w:tc>
          <w:tcPr>
            <w:tcW w:w="1199" w:type="dxa"/>
            <w:tcBorders>
              <w:top w:val="single" w:sz="4" w:space="0" w:color="CCCCCC"/>
              <w:left w:val="single" w:sz="4" w:space="0" w:color="CCCCCC"/>
              <w:bottom w:val="single" w:sz="4" w:space="0" w:color="CCCCCC"/>
              <w:right w:val="single" w:sz="4" w:space="0" w:color="CCCCCC"/>
            </w:tcBorders>
            <w:shd w:fill="F0F4F8"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10074718</w:t>
            </w:r>
          </w:p>
        </w:tc>
        <w:tc>
          <w:tcPr>
            <w:tcW w:w="2559" w:type="dxa"/>
            <w:tcBorders>
              <w:top w:val="single" w:sz="4" w:space="0" w:color="CCCCCC"/>
              <w:left w:val="single" w:sz="4" w:space="0" w:color="CCCCCC"/>
              <w:bottom w:val="single" w:sz="4" w:space="0" w:color="CCCCCC"/>
              <w:right w:val="single" w:sz="4" w:space="0" w:color="CCCCCC"/>
            </w:tcBorders>
            <w:shd w:fill="F0F4F8" w:val="clear"/>
            <w:tcMar>
              <w:top w:w="60" w:type="dxa"/>
              <w:left w:w="100" w:type="dxa"/>
              <w:bottom w:w="60" w:type="dxa"/>
              <w:right w:w="100" w:type="dxa"/>
            </w:tcMar>
            <w:vAlign w:val="center"/>
          </w:tcPr>
          <w:p>
            <w:pPr>
              <w:pStyle w:val="Normal"/>
              <w:widowControl w:val="false"/>
              <w:jc w:val="left"/>
              <w:rPr/>
            </w:pPr>
            <w:r>
              <w:rPr>
                <w:rFonts w:eastAsia="Courier New" w:cs="Courier New" w:ascii="Courier New" w:hAnsi="Courier New"/>
                <w:b w:val="false"/>
                <w:bCs w:val="false"/>
                <w:color w:val="1E3A5F"/>
                <w:sz w:val="18"/>
                <w:szCs w:val="18"/>
              </w:rPr>
              <w:t>AAAGC</w:t>
            </w:r>
          </w:p>
        </w:tc>
      </w:tr>
      <w:tr>
        <w:trPr/>
        <w:tc>
          <w:tcPr>
            <w:tcW w:w="1300" w:type="dxa"/>
            <w:tcBorders>
              <w:top w:val="single" w:sz="4" w:space="0" w:color="CCCCCC"/>
              <w:left w:val="single" w:sz="4" w:space="0" w:color="CCCCCC"/>
              <w:bottom w:val="single" w:sz="4" w:space="0" w:color="CCCCCC"/>
              <w:right w:val="single" w:sz="4" w:space="0" w:color="CCCCCC"/>
            </w:tcBorders>
            <w:shd w:fill="FFFFFF"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MA0021.1</w:t>
            </w:r>
          </w:p>
        </w:tc>
        <w:tc>
          <w:tcPr>
            <w:tcW w:w="1200" w:type="dxa"/>
            <w:tcBorders>
              <w:top w:val="single" w:sz="4" w:space="0" w:color="CCCCCC"/>
              <w:left w:val="single" w:sz="4" w:space="0" w:color="CCCCCC"/>
              <w:bottom w:val="single" w:sz="4" w:space="0" w:color="CCCCCC"/>
              <w:right w:val="single" w:sz="4" w:space="0" w:color="CCCCCC"/>
            </w:tcBorders>
            <w:shd w:fill="FFFFFF"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Dof3</w:t>
            </w:r>
          </w:p>
        </w:tc>
        <w:tc>
          <w:tcPr>
            <w:tcW w:w="1699" w:type="dxa"/>
            <w:tcBorders>
              <w:top w:val="single" w:sz="4" w:space="0" w:color="CCCCCC"/>
              <w:left w:val="single" w:sz="4" w:space="0" w:color="CCCCCC"/>
              <w:bottom w:val="single" w:sz="4" w:space="0" w:color="CCCCCC"/>
              <w:right w:val="single" w:sz="4" w:space="0" w:color="CCCCCC"/>
            </w:tcBorders>
            <w:shd w:fill="FFFFFF"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Zea mays</w:t>
            </w:r>
          </w:p>
        </w:tc>
        <w:tc>
          <w:tcPr>
            <w:tcW w:w="1402" w:type="dxa"/>
            <w:tcBorders>
              <w:top w:val="single" w:sz="4" w:space="0" w:color="CCCCCC"/>
              <w:left w:val="single" w:sz="4" w:space="0" w:color="CCCCCC"/>
              <w:bottom w:val="single" w:sz="4" w:space="0" w:color="CCCCCC"/>
              <w:right w:val="single" w:sz="4" w:space="0" w:color="CCCCCC"/>
            </w:tcBorders>
            <w:shd w:fill="FFFFFF"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SELEX</w:t>
            </w:r>
          </w:p>
        </w:tc>
        <w:tc>
          <w:tcPr>
            <w:tcW w:w="1199" w:type="dxa"/>
            <w:tcBorders>
              <w:top w:val="single" w:sz="4" w:space="0" w:color="CCCCCC"/>
              <w:left w:val="single" w:sz="4" w:space="0" w:color="CCCCCC"/>
              <w:bottom w:val="single" w:sz="4" w:space="0" w:color="CCCCCC"/>
              <w:right w:val="single" w:sz="4" w:space="0" w:color="CCCCCC"/>
            </w:tcBorders>
            <w:shd w:fill="FFFFFF"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10074718</w:t>
            </w:r>
          </w:p>
        </w:tc>
        <w:tc>
          <w:tcPr>
            <w:tcW w:w="2559" w:type="dxa"/>
            <w:tcBorders>
              <w:top w:val="single" w:sz="4" w:space="0" w:color="CCCCCC"/>
              <w:left w:val="single" w:sz="4" w:space="0" w:color="CCCCCC"/>
              <w:bottom w:val="single" w:sz="4" w:space="0" w:color="CCCCCC"/>
              <w:right w:val="single" w:sz="4" w:space="0" w:color="CCCCCC"/>
            </w:tcBorders>
            <w:shd w:fill="FFFFFF" w:val="clear"/>
            <w:tcMar>
              <w:top w:w="60" w:type="dxa"/>
              <w:left w:w="100" w:type="dxa"/>
              <w:bottom w:w="60" w:type="dxa"/>
              <w:right w:w="100" w:type="dxa"/>
            </w:tcMar>
            <w:vAlign w:val="center"/>
          </w:tcPr>
          <w:p>
            <w:pPr>
              <w:pStyle w:val="Normal"/>
              <w:widowControl w:val="false"/>
              <w:jc w:val="left"/>
              <w:rPr/>
            </w:pPr>
            <w:r>
              <w:rPr>
                <w:rFonts w:eastAsia="Courier New" w:cs="Courier New" w:ascii="Courier New" w:hAnsi="Courier New"/>
                <w:b w:val="false"/>
                <w:bCs w:val="false"/>
                <w:color w:val="1E3A5F"/>
                <w:sz w:val="18"/>
                <w:szCs w:val="18"/>
              </w:rPr>
              <w:t>AAAGC</w:t>
            </w:r>
          </w:p>
        </w:tc>
      </w:tr>
    </w:tbl>
    <w:p>
      <w:pPr>
        <w:pStyle w:val="Normal"/>
        <w:spacing w:before="0" w:after="80"/>
        <w:rPr/>
      </w:pPr>
      <w:r>
        <w:rPr/>
      </w:r>
    </w:p>
    <w:p>
      <w:pPr>
        <w:pStyle w:val="Normal"/>
        <w:spacing w:before="0" w:after="200"/>
        <w:jc w:val="center"/>
        <w:rPr/>
      </w:pPr>
      <w:r>
        <w:rPr>
          <w:rFonts w:eastAsia="Arial" w:cs="Arial"/>
          <w:color w:val="555555"/>
          <w:sz w:val="20"/>
          <w:szCs w:val="20"/>
        </w:rPr>
        <w:t>Table 3.1: Real JASPAR CORE matrices used in this study (fetched April 2026).</w:t>
      </w:r>
    </w:p>
    <w:p>
      <w:pPr>
        <w:pStyle w:val="Heading2"/>
        <w:spacing w:before="280" w:after="120"/>
        <w:rPr/>
      </w:pPr>
      <w:r>
        <w:rPr>
          <w:b/>
          <w:bCs/>
        </w:rPr>
        <w:t>3.2  Synthetic Benchmark Datasets</w:t>
      </w:r>
    </w:p>
    <w:p>
      <w:pPr>
        <w:pStyle w:val="Normal"/>
        <w:spacing w:before="0" w:after="120"/>
        <w:jc w:val="both"/>
        <w:rPr/>
      </w:pPr>
      <w:r>
        <w:rPr>
          <w:rFonts w:eastAsia="Arial" w:cs="Arial"/>
          <w:color w:val="1A1A1A"/>
          <w:sz w:val="24"/>
          <w:szCs w:val="24"/>
        </w:rPr>
        <w:t>To enable objective algorithm evaluation with known ground truth, four synthetic benchmark datasets were generated by the generate_synthetic_data.py module. Each dataset contains sequences with a motif planted at a random position; some positions are then mutated at a specified rate to simulate biological variability.</w:t>
      </w:r>
    </w:p>
    <w:p>
      <w:pPr>
        <w:pStyle w:val="Normal"/>
        <w:spacing w:before="0" w:after="80"/>
        <w:rPr/>
      </w:pPr>
      <w:r>
        <w:rPr/>
      </w:r>
    </w:p>
    <w:tbl>
      <w:tblPr>
        <w:tblW w:w="9360" w:type="dxa"/>
        <w:jc w:val="left"/>
        <w:tblInd w:w="0" w:type="dxa"/>
        <w:tblLayout w:type="fixed"/>
        <w:tblCellMar>
          <w:top w:w="80" w:type="dxa"/>
          <w:left w:w="120" w:type="dxa"/>
          <w:bottom w:w="80" w:type="dxa"/>
          <w:right w:w="120" w:type="dxa"/>
        </w:tblCellMar>
      </w:tblPr>
      <w:tblGrid>
        <w:gridCol w:w="2500"/>
        <w:gridCol w:w="1597"/>
        <w:gridCol w:w="1200"/>
        <w:gridCol w:w="1800"/>
        <w:gridCol w:w="2263"/>
      </w:tblGrid>
      <w:tr>
        <w:trPr>
          <w:tblHeader w:val="true"/>
        </w:trPr>
        <w:tc>
          <w:tcPr>
            <w:tcW w:w="2500" w:type="dxa"/>
            <w:tcBorders>
              <w:top w:val="single" w:sz="4" w:space="0" w:color="1E3A5F"/>
              <w:left w:val="single" w:sz="4" w:space="0" w:color="1E3A5F"/>
              <w:bottom w:val="single" w:sz="4" w:space="0" w:color="1E3A5F"/>
              <w:right w:val="single" w:sz="4" w:space="0" w:color="1E3A5F"/>
            </w:tcBorders>
            <w:shd w:fill="1E3A5F" w:val="clear"/>
            <w:vAlign w:val="center"/>
          </w:tcPr>
          <w:p>
            <w:pPr>
              <w:pStyle w:val="Normal"/>
              <w:widowControl w:val="false"/>
              <w:jc w:val="center"/>
              <w:rPr/>
            </w:pPr>
            <w:r>
              <w:rPr>
                <w:rFonts w:eastAsia="Arial" w:cs="Arial"/>
                <w:b/>
                <w:bCs/>
                <w:color w:val="FFFFFF"/>
                <w:sz w:val="20"/>
                <w:szCs w:val="20"/>
              </w:rPr>
              <w:t>Dataset</w:t>
            </w:r>
          </w:p>
        </w:tc>
        <w:tc>
          <w:tcPr>
            <w:tcW w:w="1597" w:type="dxa"/>
            <w:tcBorders>
              <w:top w:val="single" w:sz="4" w:space="0" w:color="1E3A5F"/>
              <w:left w:val="single" w:sz="4" w:space="0" w:color="1E3A5F"/>
              <w:bottom w:val="single" w:sz="4" w:space="0" w:color="1E3A5F"/>
              <w:right w:val="single" w:sz="4" w:space="0" w:color="1E3A5F"/>
            </w:tcBorders>
            <w:shd w:fill="1E3A5F" w:val="clear"/>
            <w:vAlign w:val="center"/>
          </w:tcPr>
          <w:p>
            <w:pPr>
              <w:pStyle w:val="Normal"/>
              <w:widowControl w:val="false"/>
              <w:jc w:val="center"/>
              <w:rPr/>
            </w:pPr>
            <w:r>
              <w:rPr>
                <w:rFonts w:eastAsia="Arial" w:cs="Arial"/>
                <w:b/>
                <w:bCs/>
                <w:color w:val="FFFFFF"/>
                <w:sz w:val="20"/>
                <w:szCs w:val="20"/>
              </w:rPr>
              <w:t>Planted Motif</w:t>
            </w:r>
          </w:p>
        </w:tc>
        <w:tc>
          <w:tcPr>
            <w:tcW w:w="1200" w:type="dxa"/>
            <w:tcBorders>
              <w:top w:val="single" w:sz="4" w:space="0" w:color="1E3A5F"/>
              <w:left w:val="single" w:sz="4" w:space="0" w:color="1E3A5F"/>
              <w:bottom w:val="single" w:sz="4" w:space="0" w:color="1E3A5F"/>
              <w:right w:val="single" w:sz="4" w:space="0" w:color="1E3A5F"/>
            </w:tcBorders>
            <w:shd w:fill="1E3A5F" w:val="clear"/>
            <w:vAlign w:val="center"/>
          </w:tcPr>
          <w:p>
            <w:pPr>
              <w:pStyle w:val="Normal"/>
              <w:widowControl w:val="false"/>
              <w:jc w:val="center"/>
              <w:rPr/>
            </w:pPr>
            <w:r>
              <w:rPr>
                <w:rFonts w:eastAsia="Arial" w:cs="Arial"/>
                <w:b/>
                <w:bCs/>
                <w:color w:val="FFFFFF"/>
                <w:sz w:val="20"/>
                <w:szCs w:val="20"/>
              </w:rPr>
              <w:t>Width</w:t>
            </w:r>
          </w:p>
        </w:tc>
        <w:tc>
          <w:tcPr>
            <w:tcW w:w="1800" w:type="dxa"/>
            <w:tcBorders>
              <w:top w:val="single" w:sz="4" w:space="0" w:color="1E3A5F"/>
              <w:left w:val="single" w:sz="4" w:space="0" w:color="1E3A5F"/>
              <w:bottom w:val="single" w:sz="4" w:space="0" w:color="1E3A5F"/>
              <w:right w:val="single" w:sz="4" w:space="0" w:color="1E3A5F"/>
            </w:tcBorders>
            <w:shd w:fill="1E3A5F" w:val="clear"/>
            <w:vAlign w:val="center"/>
          </w:tcPr>
          <w:p>
            <w:pPr>
              <w:pStyle w:val="Normal"/>
              <w:widowControl w:val="false"/>
              <w:jc w:val="center"/>
              <w:rPr/>
            </w:pPr>
            <w:r>
              <w:rPr>
                <w:rFonts w:eastAsia="Arial" w:cs="Arial"/>
                <w:b/>
                <w:bCs/>
                <w:color w:val="FFFFFF"/>
                <w:sz w:val="20"/>
                <w:szCs w:val="20"/>
              </w:rPr>
              <w:t>Sequences</w:t>
            </w:r>
          </w:p>
        </w:tc>
        <w:tc>
          <w:tcPr>
            <w:tcW w:w="2263" w:type="dxa"/>
            <w:tcBorders>
              <w:top w:val="single" w:sz="4" w:space="0" w:color="1E3A5F"/>
              <w:left w:val="single" w:sz="4" w:space="0" w:color="1E3A5F"/>
              <w:bottom w:val="single" w:sz="4" w:space="0" w:color="1E3A5F"/>
              <w:right w:val="single" w:sz="4" w:space="0" w:color="1E3A5F"/>
            </w:tcBorders>
            <w:shd w:fill="1E3A5F" w:val="clear"/>
            <w:vAlign w:val="center"/>
          </w:tcPr>
          <w:p>
            <w:pPr>
              <w:pStyle w:val="Normal"/>
              <w:widowControl w:val="false"/>
              <w:jc w:val="center"/>
              <w:rPr/>
            </w:pPr>
            <w:r>
              <w:rPr>
                <w:rFonts w:eastAsia="Arial" w:cs="Arial"/>
                <w:b/>
                <w:bCs/>
                <w:color w:val="FFFFFF"/>
                <w:sz w:val="20"/>
                <w:szCs w:val="20"/>
              </w:rPr>
              <w:t>Mutation Rate</w:t>
            </w:r>
          </w:p>
        </w:tc>
      </w:tr>
      <w:tr>
        <w:trPr/>
        <w:tc>
          <w:tcPr>
            <w:tcW w:w="2500" w:type="dxa"/>
            <w:tcBorders>
              <w:top w:val="single" w:sz="4" w:space="0" w:color="CCCCCC"/>
              <w:left w:val="single" w:sz="4" w:space="0" w:color="CCCCCC"/>
              <w:bottom w:val="single" w:sz="4" w:space="0" w:color="CCCCCC"/>
              <w:right w:val="single" w:sz="4" w:space="0" w:color="CCCCCC"/>
            </w:tcBorders>
            <w:shd w:fill="F0F4F8"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TATA-box benchmark</w:t>
            </w:r>
          </w:p>
        </w:tc>
        <w:tc>
          <w:tcPr>
            <w:tcW w:w="1597" w:type="dxa"/>
            <w:tcBorders>
              <w:top w:val="single" w:sz="4" w:space="0" w:color="CCCCCC"/>
              <w:left w:val="single" w:sz="4" w:space="0" w:color="CCCCCC"/>
              <w:bottom w:val="single" w:sz="4" w:space="0" w:color="CCCCCC"/>
              <w:right w:val="single" w:sz="4" w:space="0" w:color="CCCCCC"/>
            </w:tcBorders>
            <w:shd w:fill="F0F4F8" w:val="clear"/>
            <w:tcMar>
              <w:top w:w="60" w:type="dxa"/>
              <w:left w:w="100" w:type="dxa"/>
              <w:bottom w:w="60" w:type="dxa"/>
              <w:right w:w="100" w:type="dxa"/>
            </w:tcMar>
            <w:vAlign w:val="center"/>
          </w:tcPr>
          <w:p>
            <w:pPr>
              <w:pStyle w:val="Normal"/>
              <w:widowControl w:val="false"/>
              <w:jc w:val="left"/>
              <w:rPr/>
            </w:pPr>
            <w:r>
              <w:rPr>
                <w:rFonts w:eastAsia="Courier New" w:cs="Courier New" w:ascii="Courier New" w:hAnsi="Courier New"/>
                <w:b w:val="false"/>
                <w:bCs w:val="false"/>
                <w:color w:val="1E3A5F"/>
                <w:sz w:val="20"/>
                <w:szCs w:val="20"/>
              </w:rPr>
              <w:t>TATATAAG</w:t>
            </w:r>
          </w:p>
        </w:tc>
        <w:tc>
          <w:tcPr>
            <w:tcW w:w="1200" w:type="dxa"/>
            <w:tcBorders>
              <w:top w:val="single" w:sz="4" w:space="0" w:color="CCCCCC"/>
              <w:left w:val="single" w:sz="4" w:space="0" w:color="CCCCCC"/>
              <w:bottom w:val="single" w:sz="4" w:space="0" w:color="CCCCCC"/>
              <w:right w:val="single" w:sz="4" w:space="0" w:color="CCCCCC"/>
            </w:tcBorders>
            <w:shd w:fill="F0F4F8"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8</w:t>
            </w:r>
          </w:p>
        </w:tc>
        <w:tc>
          <w:tcPr>
            <w:tcW w:w="1800" w:type="dxa"/>
            <w:tcBorders>
              <w:top w:val="single" w:sz="4" w:space="0" w:color="CCCCCC"/>
              <w:left w:val="single" w:sz="4" w:space="0" w:color="CCCCCC"/>
              <w:bottom w:val="single" w:sz="4" w:space="0" w:color="CCCCCC"/>
              <w:right w:val="single" w:sz="4" w:space="0" w:color="CCCCCC"/>
            </w:tcBorders>
            <w:shd w:fill="F0F4F8"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20 sequences</w:t>
            </w:r>
          </w:p>
        </w:tc>
        <w:tc>
          <w:tcPr>
            <w:tcW w:w="2263" w:type="dxa"/>
            <w:tcBorders>
              <w:top w:val="single" w:sz="4" w:space="0" w:color="CCCCCC"/>
              <w:left w:val="single" w:sz="4" w:space="0" w:color="CCCCCC"/>
              <w:bottom w:val="single" w:sz="4" w:space="0" w:color="CCCCCC"/>
              <w:right w:val="single" w:sz="4" w:space="0" w:color="CCCCCC"/>
            </w:tcBorders>
            <w:shd w:fill="F0F4F8"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10%</w:t>
            </w:r>
          </w:p>
        </w:tc>
      </w:tr>
      <w:tr>
        <w:trPr/>
        <w:tc>
          <w:tcPr>
            <w:tcW w:w="2500" w:type="dxa"/>
            <w:tcBorders>
              <w:top w:val="single" w:sz="4" w:space="0" w:color="CCCCCC"/>
              <w:left w:val="single" w:sz="4" w:space="0" w:color="CCCCCC"/>
              <w:bottom w:val="single" w:sz="4" w:space="0" w:color="CCCCCC"/>
              <w:right w:val="single" w:sz="4" w:space="0" w:color="CCCCCC"/>
            </w:tcBorders>
            <w:shd w:fill="FFFFFF"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E-box (MYC) benchmark</w:t>
            </w:r>
          </w:p>
        </w:tc>
        <w:tc>
          <w:tcPr>
            <w:tcW w:w="1597" w:type="dxa"/>
            <w:tcBorders>
              <w:top w:val="single" w:sz="4" w:space="0" w:color="CCCCCC"/>
              <w:left w:val="single" w:sz="4" w:space="0" w:color="CCCCCC"/>
              <w:bottom w:val="single" w:sz="4" w:space="0" w:color="CCCCCC"/>
              <w:right w:val="single" w:sz="4" w:space="0" w:color="CCCCCC"/>
            </w:tcBorders>
            <w:shd w:fill="FFFFFF" w:val="clear"/>
            <w:tcMar>
              <w:top w:w="60" w:type="dxa"/>
              <w:left w:w="100" w:type="dxa"/>
              <w:bottom w:w="60" w:type="dxa"/>
              <w:right w:w="100" w:type="dxa"/>
            </w:tcMar>
            <w:vAlign w:val="center"/>
          </w:tcPr>
          <w:p>
            <w:pPr>
              <w:pStyle w:val="Normal"/>
              <w:widowControl w:val="false"/>
              <w:jc w:val="left"/>
              <w:rPr/>
            </w:pPr>
            <w:r>
              <w:rPr>
                <w:rFonts w:eastAsia="Courier New" w:cs="Courier New" w:ascii="Courier New" w:hAnsi="Courier New"/>
                <w:b w:val="false"/>
                <w:bCs w:val="false"/>
                <w:color w:val="1E3A5F"/>
                <w:sz w:val="20"/>
                <w:szCs w:val="20"/>
              </w:rPr>
              <w:t>CACGTG</w:t>
            </w:r>
          </w:p>
        </w:tc>
        <w:tc>
          <w:tcPr>
            <w:tcW w:w="1200" w:type="dxa"/>
            <w:tcBorders>
              <w:top w:val="single" w:sz="4" w:space="0" w:color="CCCCCC"/>
              <w:left w:val="single" w:sz="4" w:space="0" w:color="CCCCCC"/>
              <w:bottom w:val="single" w:sz="4" w:space="0" w:color="CCCCCC"/>
              <w:right w:val="single" w:sz="4" w:space="0" w:color="CCCCCC"/>
            </w:tcBorders>
            <w:shd w:fill="FFFFFF"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6</w:t>
            </w:r>
          </w:p>
        </w:tc>
        <w:tc>
          <w:tcPr>
            <w:tcW w:w="1800" w:type="dxa"/>
            <w:tcBorders>
              <w:top w:val="single" w:sz="4" w:space="0" w:color="CCCCCC"/>
              <w:left w:val="single" w:sz="4" w:space="0" w:color="CCCCCC"/>
              <w:bottom w:val="single" w:sz="4" w:space="0" w:color="CCCCCC"/>
              <w:right w:val="single" w:sz="4" w:space="0" w:color="CCCCCC"/>
            </w:tcBorders>
            <w:shd w:fill="FFFFFF"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20 sequences</w:t>
            </w:r>
          </w:p>
        </w:tc>
        <w:tc>
          <w:tcPr>
            <w:tcW w:w="2263" w:type="dxa"/>
            <w:tcBorders>
              <w:top w:val="single" w:sz="4" w:space="0" w:color="CCCCCC"/>
              <w:left w:val="single" w:sz="4" w:space="0" w:color="CCCCCC"/>
              <w:bottom w:val="single" w:sz="4" w:space="0" w:color="CCCCCC"/>
              <w:right w:val="single" w:sz="4" w:space="0" w:color="CCCCCC"/>
            </w:tcBorders>
            <w:shd w:fill="FFFFFF"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5%</w:t>
            </w:r>
          </w:p>
        </w:tc>
      </w:tr>
      <w:tr>
        <w:trPr/>
        <w:tc>
          <w:tcPr>
            <w:tcW w:w="2500" w:type="dxa"/>
            <w:tcBorders>
              <w:top w:val="single" w:sz="4" w:space="0" w:color="CCCCCC"/>
              <w:left w:val="single" w:sz="4" w:space="0" w:color="CCCCCC"/>
              <w:bottom w:val="single" w:sz="4" w:space="0" w:color="CCCCCC"/>
              <w:right w:val="single" w:sz="4" w:space="0" w:color="CCCCCC"/>
            </w:tcBorders>
            <w:shd w:fill="F0F4F8"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NF-κB benchmark</w:t>
            </w:r>
          </w:p>
        </w:tc>
        <w:tc>
          <w:tcPr>
            <w:tcW w:w="1597" w:type="dxa"/>
            <w:tcBorders>
              <w:top w:val="single" w:sz="4" w:space="0" w:color="CCCCCC"/>
              <w:left w:val="single" w:sz="4" w:space="0" w:color="CCCCCC"/>
              <w:bottom w:val="single" w:sz="4" w:space="0" w:color="CCCCCC"/>
              <w:right w:val="single" w:sz="4" w:space="0" w:color="CCCCCC"/>
            </w:tcBorders>
            <w:shd w:fill="F0F4F8" w:val="clear"/>
            <w:tcMar>
              <w:top w:w="60" w:type="dxa"/>
              <w:left w:w="100" w:type="dxa"/>
              <w:bottom w:w="60" w:type="dxa"/>
              <w:right w:w="100" w:type="dxa"/>
            </w:tcMar>
            <w:vAlign w:val="center"/>
          </w:tcPr>
          <w:p>
            <w:pPr>
              <w:pStyle w:val="Normal"/>
              <w:widowControl w:val="false"/>
              <w:jc w:val="left"/>
              <w:rPr/>
            </w:pPr>
            <w:r>
              <w:rPr>
                <w:rFonts w:eastAsia="Courier New" w:cs="Courier New" w:ascii="Courier New" w:hAnsi="Courier New"/>
                <w:b w:val="false"/>
                <w:bCs w:val="false"/>
                <w:color w:val="1E3A5F"/>
                <w:sz w:val="20"/>
                <w:szCs w:val="20"/>
              </w:rPr>
              <w:t>GGGACTTTCC</w:t>
            </w:r>
          </w:p>
        </w:tc>
        <w:tc>
          <w:tcPr>
            <w:tcW w:w="1200" w:type="dxa"/>
            <w:tcBorders>
              <w:top w:val="single" w:sz="4" w:space="0" w:color="CCCCCC"/>
              <w:left w:val="single" w:sz="4" w:space="0" w:color="CCCCCC"/>
              <w:bottom w:val="single" w:sz="4" w:space="0" w:color="CCCCCC"/>
              <w:right w:val="single" w:sz="4" w:space="0" w:color="CCCCCC"/>
            </w:tcBorders>
            <w:shd w:fill="F0F4F8"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10</w:t>
            </w:r>
          </w:p>
        </w:tc>
        <w:tc>
          <w:tcPr>
            <w:tcW w:w="1800" w:type="dxa"/>
            <w:tcBorders>
              <w:top w:val="single" w:sz="4" w:space="0" w:color="CCCCCC"/>
              <w:left w:val="single" w:sz="4" w:space="0" w:color="CCCCCC"/>
              <w:bottom w:val="single" w:sz="4" w:space="0" w:color="CCCCCC"/>
              <w:right w:val="single" w:sz="4" w:space="0" w:color="CCCCCC"/>
            </w:tcBorders>
            <w:shd w:fill="F0F4F8"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25 sequences</w:t>
            </w:r>
          </w:p>
        </w:tc>
        <w:tc>
          <w:tcPr>
            <w:tcW w:w="2263" w:type="dxa"/>
            <w:tcBorders>
              <w:top w:val="single" w:sz="4" w:space="0" w:color="CCCCCC"/>
              <w:left w:val="single" w:sz="4" w:space="0" w:color="CCCCCC"/>
              <w:bottom w:val="single" w:sz="4" w:space="0" w:color="CCCCCC"/>
              <w:right w:val="single" w:sz="4" w:space="0" w:color="CCCCCC"/>
            </w:tcBorders>
            <w:shd w:fill="F0F4F8"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20%</w:t>
            </w:r>
          </w:p>
        </w:tc>
      </w:tr>
      <w:tr>
        <w:trPr/>
        <w:tc>
          <w:tcPr>
            <w:tcW w:w="2500" w:type="dxa"/>
            <w:tcBorders>
              <w:top w:val="single" w:sz="4" w:space="0" w:color="CCCCCC"/>
              <w:left w:val="single" w:sz="4" w:space="0" w:color="CCCCCC"/>
              <w:bottom w:val="single" w:sz="4" w:space="0" w:color="CCCCCC"/>
              <w:right w:val="single" w:sz="4" w:space="0" w:color="CCCCCC"/>
            </w:tcBorders>
            <w:shd w:fill="FFFFFF"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Zinc Finger benchmark</w:t>
            </w:r>
          </w:p>
        </w:tc>
        <w:tc>
          <w:tcPr>
            <w:tcW w:w="1597" w:type="dxa"/>
            <w:tcBorders>
              <w:top w:val="single" w:sz="4" w:space="0" w:color="CCCCCC"/>
              <w:left w:val="single" w:sz="4" w:space="0" w:color="CCCCCC"/>
              <w:bottom w:val="single" w:sz="4" w:space="0" w:color="CCCCCC"/>
              <w:right w:val="single" w:sz="4" w:space="0" w:color="CCCCCC"/>
            </w:tcBorders>
            <w:shd w:fill="FFFFFF" w:val="clear"/>
            <w:tcMar>
              <w:top w:w="60" w:type="dxa"/>
              <w:left w:w="100" w:type="dxa"/>
              <w:bottom w:w="60" w:type="dxa"/>
              <w:right w:w="100" w:type="dxa"/>
            </w:tcMar>
            <w:vAlign w:val="center"/>
          </w:tcPr>
          <w:p>
            <w:pPr>
              <w:pStyle w:val="Normal"/>
              <w:widowControl w:val="false"/>
              <w:jc w:val="left"/>
              <w:rPr/>
            </w:pPr>
            <w:r>
              <w:rPr>
                <w:rFonts w:eastAsia="Courier New" w:cs="Courier New" w:ascii="Courier New" w:hAnsi="Courier New"/>
                <w:b w:val="false"/>
                <w:bCs w:val="false"/>
                <w:color w:val="1E3A5F"/>
                <w:sz w:val="20"/>
                <w:szCs w:val="20"/>
              </w:rPr>
              <w:t>GCGTGGCG</w:t>
            </w:r>
          </w:p>
        </w:tc>
        <w:tc>
          <w:tcPr>
            <w:tcW w:w="1200" w:type="dxa"/>
            <w:tcBorders>
              <w:top w:val="single" w:sz="4" w:space="0" w:color="CCCCCC"/>
              <w:left w:val="single" w:sz="4" w:space="0" w:color="CCCCCC"/>
              <w:bottom w:val="single" w:sz="4" w:space="0" w:color="CCCCCC"/>
              <w:right w:val="single" w:sz="4" w:space="0" w:color="CCCCCC"/>
            </w:tcBorders>
            <w:shd w:fill="FFFFFF"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8</w:t>
            </w:r>
          </w:p>
        </w:tc>
        <w:tc>
          <w:tcPr>
            <w:tcW w:w="1800" w:type="dxa"/>
            <w:tcBorders>
              <w:top w:val="single" w:sz="4" w:space="0" w:color="CCCCCC"/>
              <w:left w:val="single" w:sz="4" w:space="0" w:color="CCCCCC"/>
              <w:bottom w:val="single" w:sz="4" w:space="0" w:color="CCCCCC"/>
              <w:right w:val="single" w:sz="4" w:space="0" w:color="CCCCCC"/>
            </w:tcBorders>
            <w:shd w:fill="FFFFFF"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30 sequences</w:t>
            </w:r>
          </w:p>
        </w:tc>
        <w:tc>
          <w:tcPr>
            <w:tcW w:w="2263" w:type="dxa"/>
            <w:tcBorders>
              <w:top w:val="single" w:sz="4" w:space="0" w:color="CCCCCC"/>
              <w:left w:val="single" w:sz="4" w:space="0" w:color="CCCCCC"/>
              <w:bottom w:val="single" w:sz="4" w:space="0" w:color="CCCCCC"/>
              <w:right w:val="single" w:sz="4" w:space="0" w:color="CCCCCC"/>
            </w:tcBorders>
            <w:shd w:fill="FFFFFF"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25%</w:t>
            </w:r>
          </w:p>
        </w:tc>
      </w:tr>
    </w:tbl>
    <w:p>
      <w:pPr>
        <w:pStyle w:val="Normal"/>
        <w:spacing w:before="0" w:after="80"/>
        <w:rPr/>
      </w:pPr>
      <w:r>
        <w:rPr/>
      </w:r>
    </w:p>
    <w:p>
      <w:pPr>
        <w:pStyle w:val="Normal"/>
        <w:spacing w:before="0" w:after="200"/>
        <w:jc w:val="center"/>
        <w:rPr/>
      </w:pPr>
      <w:r>
        <w:rPr>
          <w:rFonts w:eastAsia="Arial" w:cs="Arial"/>
          <w:color w:val="555555"/>
          <w:sz w:val="20"/>
          <w:szCs w:val="20"/>
        </w:rPr>
        <w:t>Table 3.2: Synthetic benchmark datasets with planted ground-truth motifs.</w:t>
      </w:r>
    </w:p>
    <w:p>
      <w:pPr>
        <w:pStyle w:val="Heading2"/>
        <w:spacing w:before="280" w:after="120"/>
        <w:rPr/>
      </w:pPr>
      <w:r>
        <w:rPr>
          <w:b/>
          <w:bCs/>
        </w:rPr>
        <w:t>3.3  Dataset Groupings for Analysis</w:t>
      </w:r>
    </w:p>
    <w:p>
      <w:pPr>
        <w:pStyle w:val="Normal"/>
        <w:spacing w:before="0" w:after="120"/>
        <w:jc w:val="both"/>
        <w:rPr/>
      </w:pPr>
      <w:r>
        <w:rPr>
          <w:rFonts w:eastAsia="Arial" w:cs="Arial"/>
          <w:color w:val="1A1A1A"/>
          <w:sz w:val="24"/>
          <w:szCs w:val="24"/>
        </w:rPr>
        <w:t>For analysis, the 22 JASPAR matrices were grouped into four thematic datasets:</w:t>
      </w:r>
    </w:p>
    <w:p>
      <w:pPr>
        <w:pStyle w:val="ListParagraph"/>
        <w:numPr>
          <w:ilvl w:val="0"/>
          <w:numId w:val="89"/>
        </w:numPr>
        <w:spacing w:before="0" w:after="60"/>
        <w:rPr/>
      </w:pPr>
      <w:r>
        <w:rPr>
          <w:rFonts w:eastAsia="Arial" w:cs="Arial"/>
          <w:color w:val="1A1A1A"/>
          <w:sz w:val="24"/>
          <w:szCs w:val="24"/>
        </w:rPr>
        <w:t>real_yeast_TFs: S. cerevisiae ABF1 (MA0265.1) and ABF2 (MA0266.1/2) — 3 matrices, 90 sequences</w:t>
      </w:r>
    </w:p>
    <w:p>
      <w:pPr>
        <w:pStyle w:val="ListParagraph"/>
        <w:numPr>
          <w:ilvl w:val="0"/>
          <w:numId w:val="90"/>
        </w:numPr>
        <w:spacing w:before="0" w:after="60"/>
        <w:rPr/>
      </w:pPr>
      <w:r>
        <w:rPr>
          <w:rFonts w:eastAsia="Arial" w:cs="Arial"/>
          <w:color w:val="1A1A1A"/>
          <w:sz w:val="24"/>
          <w:szCs w:val="24"/>
        </w:rPr>
        <w:t>real_plant_bZIP: Arabidopsis bZIP factors ABF1-4 and ABI5 — 9 matrices, 180 sequences</w:t>
      </w:r>
    </w:p>
    <w:p>
      <w:pPr>
        <w:pStyle w:val="ListParagraph"/>
        <w:numPr>
          <w:ilvl w:val="0"/>
          <w:numId w:val="91"/>
        </w:numPr>
        <w:spacing w:before="0" w:after="60"/>
        <w:rPr/>
      </w:pPr>
      <w:r>
        <w:rPr>
          <w:rFonts w:eastAsia="Arial" w:cs="Arial"/>
          <w:color w:val="1A1A1A"/>
          <w:sz w:val="24"/>
          <w:szCs w:val="24"/>
        </w:rPr>
        <w:t>real_plant_B3_MADS: Arabidopsis AGL3, ABI3, ABR1 — 4 matrices, 80 sequences</w:t>
      </w:r>
    </w:p>
    <w:p>
      <w:pPr>
        <w:pStyle w:val="ListParagraph"/>
        <w:numPr>
          <w:ilvl w:val="0"/>
          <w:numId w:val="92"/>
        </w:numPr>
        <w:spacing w:before="0" w:after="60"/>
        <w:rPr/>
      </w:pPr>
      <w:r>
        <w:rPr>
          <w:rFonts w:eastAsia="Arial" w:cs="Arial"/>
          <w:color w:val="1A1A1A"/>
          <w:sz w:val="24"/>
          <w:szCs w:val="24"/>
        </w:rPr>
        <w:t>real_all_jaspar: All 22 matrices combined — 440 sequences from all organisms</w:t>
      </w:r>
    </w:p>
    <w:p>
      <w:pPr>
        <w:pStyle w:val="Normal"/>
        <w:spacing w:before="0" w:after="120"/>
        <w:jc w:val="both"/>
        <w:rPr/>
      </w:pPr>
      <w:r>
        <w:rPr>
          <w:rFonts w:eastAsia="Arial" w:cs="Arial"/>
          <w:color w:val="1A1A1A"/>
          <w:sz w:val="24"/>
          <w:szCs w:val="24"/>
        </w:rPr>
        <w:t>Human TF datasets (CTCF, E2F1, HOXA10) were analysed both individually and combined as real_human_vertebrate_TFs (120 sequences).</w:t>
      </w:r>
    </w:p>
    <w:p>
      <w:pPr>
        <w:pStyle w:val="Heading2"/>
        <w:spacing w:before="280" w:after="120"/>
        <w:rPr/>
      </w:pPr>
      <w:r>
        <w:rPr>
          <w:b/>
          <w:bCs/>
        </w:rPr>
        <w:t>3.4  Data Preprocessing</w:t>
      </w:r>
    </w:p>
    <w:p>
      <w:pPr>
        <w:pStyle w:val="Normal"/>
        <w:spacing w:before="0" w:after="120"/>
        <w:jc w:val="both"/>
        <w:rPr/>
      </w:pPr>
      <w:r>
        <w:rPr>
          <w:rFonts w:eastAsia="Arial" w:cs="Arial"/>
          <w:color w:val="1A1A1A"/>
          <w:sz w:val="24"/>
          <w:szCs w:val="24"/>
        </w:rPr>
        <w:t>All sequences were processed by the preprocess.py module, which performs the following steps:</w:t>
      </w:r>
    </w:p>
    <w:p>
      <w:pPr>
        <w:pStyle w:val="ListParagraph"/>
        <w:numPr>
          <w:ilvl w:val="0"/>
          <w:numId w:val="93"/>
        </w:numPr>
        <w:spacing w:before="0" w:after="80"/>
        <w:rPr/>
      </w:pPr>
      <w:r>
        <w:rPr>
          <w:rFonts w:eastAsia="Arial" w:cs="Arial"/>
          <w:color w:val="1A1A1A"/>
          <w:sz w:val="24"/>
          <w:szCs w:val="24"/>
        </w:rPr>
        <w:t>Parse FASTA format: reads headers and multi-line sequences; converts to uppercase.</w:t>
      </w:r>
    </w:p>
    <w:p>
      <w:pPr>
        <w:pStyle w:val="ListParagraph"/>
        <w:numPr>
          <w:ilvl w:val="0"/>
          <w:numId w:val="94"/>
        </w:numPr>
        <w:spacing w:before="0" w:after="80"/>
        <w:rPr/>
      </w:pPr>
      <w:r>
        <w:rPr>
          <w:rFonts w:eastAsia="Arial" w:cs="Arial"/>
          <w:color w:val="1A1A1A"/>
          <w:sz w:val="24"/>
          <w:szCs w:val="24"/>
        </w:rPr>
        <w:t>Clean sequences: removes non-ACGT characters (including IUPAC ambiguity codes); filters sequences below minimum length.</w:t>
      </w:r>
    </w:p>
    <w:p>
      <w:pPr>
        <w:pStyle w:val="ListParagraph"/>
        <w:numPr>
          <w:ilvl w:val="0"/>
          <w:numId w:val="95"/>
        </w:numPr>
        <w:spacing w:before="0" w:after="80"/>
        <w:rPr/>
      </w:pPr>
      <w:r>
        <w:rPr>
          <w:rFonts w:eastAsia="Arial" w:cs="Arial"/>
          <w:color w:val="1A1A1A"/>
          <w:sz w:val="24"/>
          <w:szCs w:val="24"/>
        </w:rPr>
        <w:t>Complexity filter: sequences where any single nucleotide exceeds 80% frequency are removed as low-complexity.</w:t>
      </w:r>
    </w:p>
    <w:p>
      <w:pPr>
        <w:pStyle w:val="ListParagraph"/>
        <w:numPr>
          <w:ilvl w:val="0"/>
          <w:numId w:val="96"/>
        </w:numPr>
        <w:spacing w:before="0" w:after="80"/>
        <w:rPr/>
      </w:pPr>
      <w:r>
        <w:rPr>
          <w:rFonts w:eastAsia="Arial" w:cs="Arial"/>
          <w:color w:val="1A1A1A"/>
          <w:sz w:val="24"/>
          <w:szCs w:val="24"/>
        </w:rPr>
        <w:t>Background frequency estimation: counts of A, C, G, T across all sequences in the set are computed with Laplace smoothing to estimate the background model used in log-odds scoring.</w:t>
      </w:r>
    </w:p>
    <w:p>
      <w:pPr>
        <w:pStyle w:val="Normal"/>
        <w:spacing w:before="0" w:after="0"/>
        <w:rPr/>
      </w:pPr>
      <w:r>
        <w:rPr/>
      </w:r>
      <w:r>
        <w:br w:type="page"/>
      </w:r>
    </w:p>
    <w:p>
      <w:pPr>
        <w:pStyle w:val="Heading1"/>
        <w:spacing w:before="360" w:after="180"/>
        <w:rPr/>
      </w:pPr>
      <w:r>
        <w:rPr>
          <w:b/>
          <w:bCs/>
        </w:rPr>
        <w:t>Chapter 4: Implementation</w:t>
      </w:r>
    </w:p>
    <w:p>
      <w:pPr>
        <w:pStyle w:val="Normal"/>
        <w:pBdr>
          <w:bottom w:val="single" w:sz="6" w:space="1" w:color="1E3A5F"/>
        </w:pBdr>
        <w:spacing w:before="0" w:after="120"/>
        <w:rPr/>
      </w:pPr>
      <w:r>
        <w:rPr/>
      </w:r>
    </w:p>
    <w:p>
      <w:pPr>
        <w:pStyle w:val="Heading2"/>
        <w:spacing w:before="280" w:after="120"/>
        <w:rPr/>
      </w:pPr>
      <w:r>
        <w:rPr>
          <w:b/>
          <w:bCs/>
        </w:rPr>
        <w:t>4.1  Software Architecture</w:t>
      </w:r>
    </w:p>
    <w:p>
      <w:pPr>
        <w:pStyle w:val="Normal"/>
        <w:spacing w:before="0" w:after="120"/>
        <w:jc w:val="both"/>
        <w:rPr/>
      </w:pPr>
      <w:r>
        <w:rPr>
          <w:rFonts w:eastAsia="Arial" w:cs="Arial"/>
          <w:color w:val="1A1A1A"/>
          <w:sz w:val="24"/>
          <w:szCs w:val="24"/>
        </w:rPr>
        <w:t>The project is implemented entirely in Python 3, using NumPy for matrix operations and Matplotlib for visualisation. All modules are in the src/ directory; data fetching scripts are in data/raw/. The architecture separates concerns cleanly: data I/O (preprocess.py), core data structures (pwm.py), algorithms (meme_algorithm.py, gibbs_sampling.py), evaluation (evaluate.py), visualisation (visualize.py), and orchestration (run_real_analysis.py, run_human_analysis.py, run_all.py).</w:t>
      </w:r>
    </w:p>
    <w:p>
      <w:pPr>
        <w:pStyle w:val="Heading3"/>
        <w:spacing w:before="200" w:after="80"/>
        <w:rPr/>
      </w:pPr>
      <w:r>
        <w:rPr>
          <w:b/>
          <w:bCs/>
        </w:rPr>
        <w:t>4.1.1  Module Overview</w:t>
      </w:r>
    </w:p>
    <w:tbl>
      <w:tblPr>
        <w:tblW w:w="9360" w:type="dxa"/>
        <w:jc w:val="left"/>
        <w:tblInd w:w="0" w:type="dxa"/>
        <w:tblLayout w:type="fixed"/>
        <w:tblCellMar>
          <w:top w:w="80" w:type="dxa"/>
          <w:left w:w="120" w:type="dxa"/>
          <w:bottom w:w="80" w:type="dxa"/>
          <w:right w:w="120" w:type="dxa"/>
        </w:tblCellMar>
      </w:tblPr>
      <w:tblGrid>
        <w:gridCol w:w="2897"/>
        <w:gridCol w:w="1402"/>
        <w:gridCol w:w="5061"/>
      </w:tblGrid>
      <w:tr>
        <w:trPr>
          <w:tblHeader w:val="true"/>
        </w:trPr>
        <w:tc>
          <w:tcPr>
            <w:tcW w:w="2897" w:type="dxa"/>
            <w:tcBorders>
              <w:top w:val="single" w:sz="4" w:space="0" w:color="1E3A5F"/>
              <w:left w:val="single" w:sz="4" w:space="0" w:color="1E3A5F"/>
              <w:bottom w:val="single" w:sz="4" w:space="0" w:color="1E3A5F"/>
              <w:right w:val="single" w:sz="4" w:space="0" w:color="1E3A5F"/>
            </w:tcBorders>
            <w:shd w:fill="1E3A5F" w:val="clear"/>
            <w:vAlign w:val="center"/>
          </w:tcPr>
          <w:p>
            <w:pPr>
              <w:pStyle w:val="Normal"/>
              <w:widowControl w:val="false"/>
              <w:jc w:val="center"/>
              <w:rPr/>
            </w:pPr>
            <w:r>
              <w:rPr>
                <w:rFonts w:eastAsia="Arial" w:cs="Arial"/>
                <w:b/>
                <w:bCs/>
                <w:color w:val="FFFFFF"/>
                <w:sz w:val="20"/>
                <w:szCs w:val="20"/>
              </w:rPr>
              <w:t>Module</w:t>
            </w:r>
          </w:p>
        </w:tc>
        <w:tc>
          <w:tcPr>
            <w:tcW w:w="1402" w:type="dxa"/>
            <w:tcBorders>
              <w:top w:val="single" w:sz="4" w:space="0" w:color="1E3A5F"/>
              <w:left w:val="single" w:sz="4" w:space="0" w:color="1E3A5F"/>
              <w:bottom w:val="single" w:sz="4" w:space="0" w:color="1E3A5F"/>
              <w:right w:val="single" w:sz="4" w:space="0" w:color="1E3A5F"/>
            </w:tcBorders>
            <w:shd w:fill="1E3A5F" w:val="clear"/>
            <w:vAlign w:val="center"/>
          </w:tcPr>
          <w:p>
            <w:pPr>
              <w:pStyle w:val="Normal"/>
              <w:widowControl w:val="false"/>
              <w:jc w:val="center"/>
              <w:rPr/>
            </w:pPr>
            <w:r>
              <w:rPr>
                <w:rFonts w:eastAsia="Arial" w:cs="Arial"/>
                <w:b/>
                <w:bCs/>
                <w:color w:val="FFFFFF"/>
                <w:sz w:val="20"/>
                <w:szCs w:val="20"/>
              </w:rPr>
              <w:t>Lines of Code</w:t>
            </w:r>
          </w:p>
        </w:tc>
        <w:tc>
          <w:tcPr>
            <w:tcW w:w="5061" w:type="dxa"/>
            <w:tcBorders>
              <w:top w:val="single" w:sz="4" w:space="0" w:color="1E3A5F"/>
              <w:left w:val="single" w:sz="4" w:space="0" w:color="1E3A5F"/>
              <w:bottom w:val="single" w:sz="4" w:space="0" w:color="1E3A5F"/>
              <w:right w:val="single" w:sz="4" w:space="0" w:color="1E3A5F"/>
            </w:tcBorders>
            <w:shd w:fill="1E3A5F" w:val="clear"/>
            <w:vAlign w:val="center"/>
          </w:tcPr>
          <w:p>
            <w:pPr>
              <w:pStyle w:val="Normal"/>
              <w:widowControl w:val="false"/>
              <w:jc w:val="center"/>
              <w:rPr/>
            </w:pPr>
            <w:r>
              <w:rPr>
                <w:rFonts w:eastAsia="Arial" w:cs="Arial"/>
                <w:b/>
                <w:bCs/>
                <w:color w:val="FFFFFF"/>
                <w:sz w:val="20"/>
                <w:szCs w:val="20"/>
              </w:rPr>
              <w:t>Responsibility</w:t>
            </w:r>
          </w:p>
        </w:tc>
      </w:tr>
      <w:tr>
        <w:trPr/>
        <w:tc>
          <w:tcPr>
            <w:tcW w:w="2897" w:type="dxa"/>
            <w:tcBorders>
              <w:top w:val="single" w:sz="4" w:space="0" w:color="CCCCCC"/>
              <w:left w:val="single" w:sz="4" w:space="0" w:color="CCCCCC"/>
              <w:bottom w:val="single" w:sz="4" w:space="0" w:color="CCCCCC"/>
              <w:right w:val="single" w:sz="4" w:space="0" w:color="CCCCCC"/>
            </w:tcBorders>
            <w:shd w:fill="F0F4F8" w:val="clear"/>
            <w:tcMar>
              <w:top w:w="60" w:type="dxa"/>
              <w:left w:w="100" w:type="dxa"/>
              <w:bottom w:w="60" w:type="dxa"/>
              <w:right w:w="100" w:type="dxa"/>
            </w:tcMar>
            <w:vAlign w:val="center"/>
          </w:tcPr>
          <w:p>
            <w:pPr>
              <w:pStyle w:val="Normal"/>
              <w:widowControl w:val="false"/>
              <w:jc w:val="left"/>
              <w:rPr/>
            </w:pPr>
            <w:r>
              <w:rPr>
                <w:rFonts w:eastAsia="Courier New" w:cs="Courier New" w:ascii="Courier New" w:hAnsi="Courier New"/>
                <w:b w:val="false"/>
                <w:bCs w:val="false"/>
                <w:color w:val="1E3A5F"/>
                <w:sz w:val="20"/>
                <w:szCs w:val="20"/>
              </w:rPr>
              <w:t>pwm.py</w:t>
            </w:r>
          </w:p>
        </w:tc>
        <w:tc>
          <w:tcPr>
            <w:tcW w:w="1402" w:type="dxa"/>
            <w:tcBorders>
              <w:top w:val="single" w:sz="4" w:space="0" w:color="CCCCCC"/>
              <w:left w:val="single" w:sz="4" w:space="0" w:color="CCCCCC"/>
              <w:bottom w:val="single" w:sz="4" w:space="0" w:color="CCCCCC"/>
              <w:right w:val="single" w:sz="4" w:space="0" w:color="CCCCCC"/>
            </w:tcBorders>
            <w:shd w:fill="F0F4F8"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~180</w:t>
            </w:r>
          </w:p>
        </w:tc>
        <w:tc>
          <w:tcPr>
            <w:tcW w:w="5061" w:type="dxa"/>
            <w:tcBorders>
              <w:top w:val="single" w:sz="4" w:space="0" w:color="CCCCCC"/>
              <w:left w:val="single" w:sz="4" w:space="0" w:color="CCCCCC"/>
              <w:bottom w:val="single" w:sz="4" w:space="0" w:color="CCCCCC"/>
              <w:right w:val="single" w:sz="4" w:space="0" w:color="CCCCCC"/>
            </w:tcBorders>
            <w:shd w:fill="F0F4F8"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Position Weight Matrix: frequency matrix, log-odds scores, IC, consensus, scoring</w:t>
            </w:r>
          </w:p>
        </w:tc>
      </w:tr>
      <w:tr>
        <w:trPr/>
        <w:tc>
          <w:tcPr>
            <w:tcW w:w="2897" w:type="dxa"/>
            <w:tcBorders>
              <w:top w:val="single" w:sz="4" w:space="0" w:color="CCCCCC"/>
              <w:left w:val="single" w:sz="4" w:space="0" w:color="CCCCCC"/>
              <w:bottom w:val="single" w:sz="4" w:space="0" w:color="CCCCCC"/>
              <w:right w:val="single" w:sz="4" w:space="0" w:color="CCCCCC"/>
            </w:tcBorders>
            <w:shd w:fill="FFFFFF" w:val="clear"/>
            <w:tcMar>
              <w:top w:w="60" w:type="dxa"/>
              <w:left w:w="100" w:type="dxa"/>
              <w:bottom w:w="60" w:type="dxa"/>
              <w:right w:w="100" w:type="dxa"/>
            </w:tcMar>
            <w:vAlign w:val="center"/>
          </w:tcPr>
          <w:p>
            <w:pPr>
              <w:pStyle w:val="Normal"/>
              <w:widowControl w:val="false"/>
              <w:jc w:val="left"/>
              <w:rPr/>
            </w:pPr>
            <w:r>
              <w:rPr>
                <w:rFonts w:eastAsia="Courier New" w:cs="Courier New" w:ascii="Courier New" w:hAnsi="Courier New"/>
                <w:b w:val="false"/>
                <w:bCs w:val="false"/>
                <w:color w:val="1E3A5F"/>
                <w:sz w:val="20"/>
                <w:szCs w:val="20"/>
              </w:rPr>
              <w:t>preprocess.py</w:t>
            </w:r>
          </w:p>
        </w:tc>
        <w:tc>
          <w:tcPr>
            <w:tcW w:w="1402" w:type="dxa"/>
            <w:tcBorders>
              <w:top w:val="single" w:sz="4" w:space="0" w:color="CCCCCC"/>
              <w:left w:val="single" w:sz="4" w:space="0" w:color="CCCCCC"/>
              <w:bottom w:val="single" w:sz="4" w:space="0" w:color="CCCCCC"/>
              <w:right w:val="single" w:sz="4" w:space="0" w:color="CCCCCC"/>
            </w:tcBorders>
            <w:shd w:fill="FFFFFF"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~120</w:t>
            </w:r>
          </w:p>
        </w:tc>
        <w:tc>
          <w:tcPr>
            <w:tcW w:w="5061" w:type="dxa"/>
            <w:tcBorders>
              <w:top w:val="single" w:sz="4" w:space="0" w:color="CCCCCC"/>
              <w:left w:val="single" w:sz="4" w:space="0" w:color="CCCCCC"/>
              <w:bottom w:val="single" w:sz="4" w:space="0" w:color="CCCCCC"/>
              <w:right w:val="single" w:sz="4" w:space="0" w:color="CCCCCC"/>
            </w:tcBorders>
            <w:shd w:fill="FFFFFF"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FASTA I/O, sequence cleaning, low-complexity filter, background estimation</w:t>
            </w:r>
          </w:p>
        </w:tc>
      </w:tr>
      <w:tr>
        <w:trPr/>
        <w:tc>
          <w:tcPr>
            <w:tcW w:w="2897" w:type="dxa"/>
            <w:tcBorders>
              <w:top w:val="single" w:sz="4" w:space="0" w:color="CCCCCC"/>
              <w:left w:val="single" w:sz="4" w:space="0" w:color="CCCCCC"/>
              <w:bottom w:val="single" w:sz="4" w:space="0" w:color="CCCCCC"/>
              <w:right w:val="single" w:sz="4" w:space="0" w:color="CCCCCC"/>
            </w:tcBorders>
            <w:shd w:fill="F0F4F8" w:val="clear"/>
            <w:tcMar>
              <w:top w:w="60" w:type="dxa"/>
              <w:left w:w="100" w:type="dxa"/>
              <w:bottom w:w="60" w:type="dxa"/>
              <w:right w:w="100" w:type="dxa"/>
            </w:tcMar>
            <w:vAlign w:val="center"/>
          </w:tcPr>
          <w:p>
            <w:pPr>
              <w:pStyle w:val="Normal"/>
              <w:widowControl w:val="false"/>
              <w:jc w:val="left"/>
              <w:rPr/>
            </w:pPr>
            <w:r>
              <w:rPr>
                <w:rFonts w:eastAsia="Courier New" w:cs="Courier New" w:ascii="Courier New" w:hAnsi="Courier New"/>
                <w:b w:val="false"/>
                <w:bCs w:val="false"/>
                <w:color w:val="1E3A5F"/>
                <w:sz w:val="20"/>
                <w:szCs w:val="20"/>
              </w:rPr>
              <w:t>meme_algorithm.py</w:t>
            </w:r>
          </w:p>
        </w:tc>
        <w:tc>
          <w:tcPr>
            <w:tcW w:w="1402" w:type="dxa"/>
            <w:tcBorders>
              <w:top w:val="single" w:sz="4" w:space="0" w:color="CCCCCC"/>
              <w:left w:val="single" w:sz="4" w:space="0" w:color="CCCCCC"/>
              <w:bottom w:val="single" w:sz="4" w:space="0" w:color="CCCCCC"/>
              <w:right w:val="single" w:sz="4" w:space="0" w:color="CCCCCC"/>
            </w:tcBorders>
            <w:shd w:fill="F0F4F8"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~250</w:t>
            </w:r>
          </w:p>
        </w:tc>
        <w:tc>
          <w:tcPr>
            <w:tcW w:w="5061" w:type="dxa"/>
            <w:tcBorders>
              <w:top w:val="single" w:sz="4" w:space="0" w:color="CCCCCC"/>
              <w:left w:val="single" w:sz="4" w:space="0" w:color="CCCCCC"/>
              <w:bottom w:val="single" w:sz="4" w:space="0" w:color="CCCCCC"/>
              <w:right w:val="single" w:sz="4" w:space="0" w:color="CCCCCC"/>
            </w:tcBorders>
            <w:shd w:fill="F0F4F8"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Full MEME EM: E-step, M-step, multi-motif discovery with erasing, E-value</w:t>
            </w:r>
          </w:p>
        </w:tc>
      </w:tr>
      <w:tr>
        <w:trPr/>
        <w:tc>
          <w:tcPr>
            <w:tcW w:w="2897" w:type="dxa"/>
            <w:tcBorders>
              <w:top w:val="single" w:sz="4" w:space="0" w:color="CCCCCC"/>
              <w:left w:val="single" w:sz="4" w:space="0" w:color="CCCCCC"/>
              <w:bottom w:val="single" w:sz="4" w:space="0" w:color="CCCCCC"/>
              <w:right w:val="single" w:sz="4" w:space="0" w:color="CCCCCC"/>
            </w:tcBorders>
            <w:shd w:fill="FFFFFF" w:val="clear"/>
            <w:tcMar>
              <w:top w:w="60" w:type="dxa"/>
              <w:left w:w="100" w:type="dxa"/>
              <w:bottom w:w="60" w:type="dxa"/>
              <w:right w:w="100" w:type="dxa"/>
            </w:tcMar>
            <w:vAlign w:val="center"/>
          </w:tcPr>
          <w:p>
            <w:pPr>
              <w:pStyle w:val="Normal"/>
              <w:widowControl w:val="false"/>
              <w:jc w:val="left"/>
              <w:rPr/>
            </w:pPr>
            <w:r>
              <w:rPr>
                <w:rFonts w:eastAsia="Courier New" w:cs="Courier New" w:ascii="Courier New" w:hAnsi="Courier New"/>
                <w:b w:val="false"/>
                <w:bCs w:val="false"/>
                <w:color w:val="1E3A5F"/>
                <w:sz w:val="20"/>
                <w:szCs w:val="20"/>
              </w:rPr>
              <w:t>gibbs_sampling.py</w:t>
            </w:r>
          </w:p>
        </w:tc>
        <w:tc>
          <w:tcPr>
            <w:tcW w:w="1402" w:type="dxa"/>
            <w:tcBorders>
              <w:top w:val="single" w:sz="4" w:space="0" w:color="CCCCCC"/>
              <w:left w:val="single" w:sz="4" w:space="0" w:color="CCCCCC"/>
              <w:bottom w:val="single" w:sz="4" w:space="0" w:color="CCCCCC"/>
              <w:right w:val="single" w:sz="4" w:space="0" w:color="CCCCCC"/>
            </w:tcBorders>
            <w:shd w:fill="FFFFFF"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~280</w:t>
            </w:r>
          </w:p>
        </w:tc>
        <w:tc>
          <w:tcPr>
            <w:tcW w:w="5061" w:type="dxa"/>
            <w:tcBorders>
              <w:top w:val="single" w:sz="4" w:space="0" w:color="CCCCCC"/>
              <w:left w:val="single" w:sz="4" w:space="0" w:color="CCCCCC"/>
              <w:bottom w:val="single" w:sz="4" w:space="0" w:color="CCCCCC"/>
              <w:right w:val="single" w:sz="4" w:space="0" w:color="CCCCCC"/>
            </w:tcBorders>
            <w:shd w:fill="FFFFFF"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Gibbs Sampler: random init, leave-one-out update, softmax sampling, multi-start</w:t>
            </w:r>
          </w:p>
        </w:tc>
      </w:tr>
      <w:tr>
        <w:trPr/>
        <w:tc>
          <w:tcPr>
            <w:tcW w:w="2897" w:type="dxa"/>
            <w:tcBorders>
              <w:top w:val="single" w:sz="4" w:space="0" w:color="CCCCCC"/>
              <w:left w:val="single" w:sz="4" w:space="0" w:color="CCCCCC"/>
              <w:bottom w:val="single" w:sz="4" w:space="0" w:color="CCCCCC"/>
              <w:right w:val="single" w:sz="4" w:space="0" w:color="CCCCCC"/>
            </w:tcBorders>
            <w:shd w:fill="F0F4F8" w:val="clear"/>
            <w:tcMar>
              <w:top w:w="60" w:type="dxa"/>
              <w:left w:w="100" w:type="dxa"/>
              <w:bottom w:w="60" w:type="dxa"/>
              <w:right w:w="100" w:type="dxa"/>
            </w:tcMar>
            <w:vAlign w:val="center"/>
          </w:tcPr>
          <w:p>
            <w:pPr>
              <w:pStyle w:val="Normal"/>
              <w:widowControl w:val="false"/>
              <w:jc w:val="left"/>
              <w:rPr/>
            </w:pPr>
            <w:r>
              <w:rPr>
                <w:rFonts w:eastAsia="Courier New" w:cs="Courier New" w:ascii="Courier New" w:hAnsi="Courier New"/>
                <w:b w:val="false"/>
                <w:bCs w:val="false"/>
                <w:color w:val="1E3A5F"/>
                <w:sz w:val="20"/>
                <w:szCs w:val="20"/>
              </w:rPr>
              <w:t>evaluate.py</w:t>
            </w:r>
          </w:p>
        </w:tc>
        <w:tc>
          <w:tcPr>
            <w:tcW w:w="1402" w:type="dxa"/>
            <w:tcBorders>
              <w:top w:val="single" w:sz="4" w:space="0" w:color="CCCCCC"/>
              <w:left w:val="single" w:sz="4" w:space="0" w:color="CCCCCC"/>
              <w:bottom w:val="single" w:sz="4" w:space="0" w:color="CCCCCC"/>
              <w:right w:val="single" w:sz="4" w:space="0" w:color="CCCCCC"/>
            </w:tcBorders>
            <w:shd w:fill="F0F4F8"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~150</w:t>
            </w:r>
          </w:p>
        </w:tc>
        <w:tc>
          <w:tcPr>
            <w:tcW w:w="5061" w:type="dxa"/>
            <w:tcBorders>
              <w:top w:val="single" w:sz="4" w:space="0" w:color="CCCCCC"/>
              <w:left w:val="single" w:sz="4" w:space="0" w:color="CCCCCC"/>
              <w:bottom w:val="single" w:sz="4" w:space="0" w:color="CCCCCC"/>
              <w:right w:val="single" w:sz="4" w:space="0" w:color="CCCCCC"/>
            </w:tcBorders>
            <w:shd w:fill="F0F4F8"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Sensitivity, PPV, F1, nCC, site accuracy; PWM Pearson correlation</w:t>
            </w:r>
          </w:p>
        </w:tc>
      </w:tr>
      <w:tr>
        <w:trPr/>
        <w:tc>
          <w:tcPr>
            <w:tcW w:w="2897" w:type="dxa"/>
            <w:tcBorders>
              <w:top w:val="single" w:sz="4" w:space="0" w:color="CCCCCC"/>
              <w:left w:val="single" w:sz="4" w:space="0" w:color="CCCCCC"/>
              <w:bottom w:val="single" w:sz="4" w:space="0" w:color="CCCCCC"/>
              <w:right w:val="single" w:sz="4" w:space="0" w:color="CCCCCC"/>
            </w:tcBorders>
            <w:shd w:fill="FFFFFF" w:val="clear"/>
            <w:tcMar>
              <w:top w:w="60" w:type="dxa"/>
              <w:left w:w="100" w:type="dxa"/>
              <w:bottom w:w="60" w:type="dxa"/>
              <w:right w:w="100" w:type="dxa"/>
            </w:tcMar>
            <w:vAlign w:val="center"/>
          </w:tcPr>
          <w:p>
            <w:pPr>
              <w:pStyle w:val="Normal"/>
              <w:widowControl w:val="false"/>
              <w:jc w:val="left"/>
              <w:rPr/>
            </w:pPr>
            <w:r>
              <w:rPr>
                <w:rFonts w:eastAsia="Courier New" w:cs="Courier New" w:ascii="Courier New" w:hAnsi="Courier New"/>
                <w:b w:val="false"/>
                <w:bCs w:val="false"/>
                <w:color w:val="1E3A5F"/>
                <w:sz w:val="20"/>
                <w:szCs w:val="20"/>
              </w:rPr>
              <w:t>visualize.py</w:t>
            </w:r>
          </w:p>
        </w:tc>
        <w:tc>
          <w:tcPr>
            <w:tcW w:w="1402" w:type="dxa"/>
            <w:tcBorders>
              <w:top w:val="single" w:sz="4" w:space="0" w:color="CCCCCC"/>
              <w:left w:val="single" w:sz="4" w:space="0" w:color="CCCCCC"/>
              <w:bottom w:val="single" w:sz="4" w:space="0" w:color="CCCCCC"/>
              <w:right w:val="single" w:sz="4" w:space="0" w:color="CCCCCC"/>
            </w:tcBorders>
            <w:shd w:fill="FFFFFF"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~320</w:t>
            </w:r>
          </w:p>
        </w:tc>
        <w:tc>
          <w:tcPr>
            <w:tcW w:w="5061" w:type="dxa"/>
            <w:tcBorders>
              <w:top w:val="single" w:sz="4" w:space="0" w:color="CCCCCC"/>
              <w:left w:val="single" w:sz="4" w:space="0" w:color="CCCCCC"/>
              <w:bottom w:val="single" w:sz="4" w:space="0" w:color="CCCCCC"/>
              <w:right w:val="single" w:sz="4" w:space="0" w:color="CCCCCC"/>
            </w:tcBorders>
            <w:shd w:fill="FFFFFF"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Sequence logos, PWM heatmaps, convergence plots, comparison charts, site distribution</w:t>
            </w:r>
          </w:p>
        </w:tc>
      </w:tr>
      <w:tr>
        <w:trPr/>
        <w:tc>
          <w:tcPr>
            <w:tcW w:w="2897" w:type="dxa"/>
            <w:tcBorders>
              <w:top w:val="single" w:sz="4" w:space="0" w:color="CCCCCC"/>
              <w:left w:val="single" w:sz="4" w:space="0" w:color="CCCCCC"/>
              <w:bottom w:val="single" w:sz="4" w:space="0" w:color="CCCCCC"/>
              <w:right w:val="single" w:sz="4" w:space="0" w:color="CCCCCC"/>
            </w:tcBorders>
            <w:shd w:fill="F0F4F8" w:val="clear"/>
            <w:tcMar>
              <w:top w:w="60" w:type="dxa"/>
              <w:left w:w="100" w:type="dxa"/>
              <w:bottom w:w="60" w:type="dxa"/>
              <w:right w:w="100" w:type="dxa"/>
            </w:tcMar>
            <w:vAlign w:val="center"/>
          </w:tcPr>
          <w:p>
            <w:pPr>
              <w:pStyle w:val="Normal"/>
              <w:widowControl w:val="false"/>
              <w:jc w:val="left"/>
              <w:rPr/>
            </w:pPr>
            <w:r>
              <w:rPr>
                <w:rFonts w:eastAsia="Courier New" w:cs="Courier New" w:ascii="Courier New" w:hAnsi="Courier New"/>
                <w:b w:val="false"/>
                <w:bCs w:val="false"/>
                <w:color w:val="1E3A5F"/>
                <w:sz w:val="20"/>
                <w:szCs w:val="20"/>
              </w:rPr>
              <w:t>run_real_analysis.py</w:t>
            </w:r>
          </w:p>
        </w:tc>
        <w:tc>
          <w:tcPr>
            <w:tcW w:w="1402" w:type="dxa"/>
            <w:tcBorders>
              <w:top w:val="single" w:sz="4" w:space="0" w:color="CCCCCC"/>
              <w:left w:val="single" w:sz="4" w:space="0" w:color="CCCCCC"/>
              <w:bottom w:val="single" w:sz="4" w:space="0" w:color="CCCCCC"/>
              <w:right w:val="single" w:sz="4" w:space="0" w:color="CCCCCC"/>
            </w:tcBorders>
            <w:shd w:fill="F0F4F8"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~200</w:t>
            </w:r>
          </w:p>
        </w:tc>
        <w:tc>
          <w:tcPr>
            <w:tcW w:w="5061" w:type="dxa"/>
            <w:tcBorders>
              <w:top w:val="single" w:sz="4" w:space="0" w:color="CCCCCC"/>
              <w:left w:val="single" w:sz="4" w:space="0" w:color="CCCCCC"/>
              <w:bottom w:val="single" w:sz="4" w:space="0" w:color="CCCCCC"/>
              <w:right w:val="single" w:sz="4" w:space="0" w:color="CCCCCC"/>
            </w:tcBorders>
            <w:shd w:fill="F0F4F8"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Pipeline: real JASPAR + synthetic benchmark datasets</w:t>
            </w:r>
          </w:p>
        </w:tc>
      </w:tr>
      <w:tr>
        <w:trPr/>
        <w:tc>
          <w:tcPr>
            <w:tcW w:w="2897" w:type="dxa"/>
            <w:tcBorders>
              <w:top w:val="single" w:sz="4" w:space="0" w:color="CCCCCC"/>
              <w:left w:val="single" w:sz="4" w:space="0" w:color="CCCCCC"/>
              <w:bottom w:val="single" w:sz="4" w:space="0" w:color="CCCCCC"/>
              <w:right w:val="single" w:sz="4" w:space="0" w:color="CCCCCC"/>
            </w:tcBorders>
            <w:shd w:fill="FFFFFF" w:val="clear"/>
            <w:tcMar>
              <w:top w:w="60" w:type="dxa"/>
              <w:left w:w="100" w:type="dxa"/>
              <w:bottom w:w="60" w:type="dxa"/>
              <w:right w:w="100" w:type="dxa"/>
            </w:tcMar>
            <w:vAlign w:val="center"/>
          </w:tcPr>
          <w:p>
            <w:pPr>
              <w:pStyle w:val="Normal"/>
              <w:widowControl w:val="false"/>
              <w:jc w:val="left"/>
              <w:rPr/>
            </w:pPr>
            <w:r>
              <w:rPr>
                <w:rFonts w:eastAsia="Courier New" w:cs="Courier New" w:ascii="Courier New" w:hAnsi="Courier New"/>
                <w:b w:val="false"/>
                <w:bCs w:val="false"/>
                <w:color w:val="1E3A5F"/>
                <w:sz w:val="20"/>
                <w:szCs w:val="20"/>
              </w:rPr>
              <w:t>run_human_analysis.py</w:t>
            </w:r>
          </w:p>
        </w:tc>
        <w:tc>
          <w:tcPr>
            <w:tcW w:w="1402" w:type="dxa"/>
            <w:tcBorders>
              <w:top w:val="single" w:sz="4" w:space="0" w:color="CCCCCC"/>
              <w:left w:val="single" w:sz="4" w:space="0" w:color="CCCCCC"/>
              <w:bottom w:val="single" w:sz="4" w:space="0" w:color="CCCCCC"/>
              <w:right w:val="single" w:sz="4" w:space="0" w:color="CCCCCC"/>
            </w:tcBorders>
            <w:shd w:fill="FFFFFF"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~160</w:t>
            </w:r>
          </w:p>
        </w:tc>
        <w:tc>
          <w:tcPr>
            <w:tcW w:w="5061" w:type="dxa"/>
            <w:tcBorders>
              <w:top w:val="single" w:sz="4" w:space="0" w:color="CCCCCC"/>
              <w:left w:val="single" w:sz="4" w:space="0" w:color="CCCCCC"/>
              <w:bottom w:val="single" w:sz="4" w:space="0" w:color="CCCCCC"/>
              <w:right w:val="single" w:sz="4" w:space="0" w:color="CCCCCC"/>
            </w:tcBorders>
            <w:shd w:fill="FFFFFF"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Pipeline: human vertebrate TF datasets</w:t>
            </w:r>
          </w:p>
        </w:tc>
      </w:tr>
      <w:tr>
        <w:trPr/>
        <w:tc>
          <w:tcPr>
            <w:tcW w:w="2897" w:type="dxa"/>
            <w:tcBorders>
              <w:top w:val="single" w:sz="4" w:space="0" w:color="CCCCCC"/>
              <w:left w:val="single" w:sz="4" w:space="0" w:color="CCCCCC"/>
              <w:bottom w:val="single" w:sz="4" w:space="0" w:color="CCCCCC"/>
              <w:right w:val="single" w:sz="4" w:space="0" w:color="CCCCCC"/>
            </w:tcBorders>
            <w:shd w:fill="F0F4F8" w:val="clear"/>
            <w:tcMar>
              <w:top w:w="60" w:type="dxa"/>
              <w:left w:w="100" w:type="dxa"/>
              <w:bottom w:w="60" w:type="dxa"/>
              <w:right w:w="100" w:type="dxa"/>
            </w:tcMar>
            <w:vAlign w:val="center"/>
          </w:tcPr>
          <w:p>
            <w:pPr>
              <w:pStyle w:val="Normal"/>
              <w:widowControl w:val="false"/>
              <w:jc w:val="left"/>
              <w:rPr/>
            </w:pPr>
            <w:r>
              <w:rPr>
                <w:rFonts w:eastAsia="Courier New" w:cs="Courier New" w:ascii="Courier New" w:hAnsi="Courier New"/>
                <w:b w:val="false"/>
                <w:bCs w:val="false"/>
                <w:color w:val="1E3A5F"/>
                <w:sz w:val="20"/>
                <w:szCs w:val="20"/>
              </w:rPr>
              <w:t>generate_report.py</w:t>
            </w:r>
          </w:p>
        </w:tc>
        <w:tc>
          <w:tcPr>
            <w:tcW w:w="1402" w:type="dxa"/>
            <w:tcBorders>
              <w:top w:val="single" w:sz="4" w:space="0" w:color="CCCCCC"/>
              <w:left w:val="single" w:sz="4" w:space="0" w:color="CCCCCC"/>
              <w:bottom w:val="single" w:sz="4" w:space="0" w:color="CCCCCC"/>
              <w:right w:val="single" w:sz="4" w:space="0" w:color="CCCCCC"/>
            </w:tcBorders>
            <w:shd w:fill="F0F4F8"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~280</w:t>
            </w:r>
          </w:p>
        </w:tc>
        <w:tc>
          <w:tcPr>
            <w:tcW w:w="5061" w:type="dxa"/>
            <w:tcBorders>
              <w:top w:val="single" w:sz="4" w:space="0" w:color="CCCCCC"/>
              <w:left w:val="single" w:sz="4" w:space="0" w:color="CCCCCC"/>
              <w:bottom w:val="single" w:sz="4" w:space="0" w:color="CCCCCC"/>
              <w:right w:val="single" w:sz="4" w:space="0" w:color="CCCCCC"/>
            </w:tcBorders>
            <w:shd w:fill="F0F4F8"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Self-contained HTML report generator with embedded base64 plots</w:t>
            </w:r>
          </w:p>
        </w:tc>
      </w:tr>
    </w:tbl>
    <w:p>
      <w:pPr>
        <w:pStyle w:val="Normal"/>
        <w:spacing w:before="0" w:after="80"/>
        <w:rPr/>
      </w:pPr>
      <w:r>
        <w:rPr/>
      </w:r>
    </w:p>
    <w:p>
      <w:pPr>
        <w:pStyle w:val="Heading2"/>
        <w:spacing w:before="280" w:after="120"/>
        <w:rPr/>
      </w:pPr>
      <w:r>
        <w:rPr>
          <w:b/>
          <w:bCs/>
        </w:rPr>
        <w:t>4.2  Position Weight Matrix (pwm.py)</w:t>
      </w:r>
    </w:p>
    <w:p>
      <w:pPr>
        <w:pStyle w:val="Normal"/>
        <w:spacing w:before="0" w:after="120"/>
        <w:jc w:val="both"/>
        <w:rPr/>
      </w:pPr>
      <w:r>
        <w:rPr>
          <w:rFonts w:eastAsia="Arial" w:cs="Arial"/>
          <w:color w:val="1A1A1A"/>
          <w:sz w:val="24"/>
          <w:szCs w:val="24"/>
        </w:rPr>
        <w:t>The PWM class is the central data structure. It stores raw counts (self.counts, shape W×4) and computes log-odds scores on demand. Key methods:</w:t>
      </w:r>
    </w:p>
    <w:p>
      <w:pPr>
        <w:pStyle w:val="ListParagraph"/>
        <w:numPr>
          <w:ilvl w:val="0"/>
          <w:numId w:val="97"/>
        </w:numPr>
        <w:spacing w:before="0" w:after="60"/>
        <w:rPr/>
      </w:pPr>
      <w:r>
        <w:rPr>
          <w:rFonts w:eastAsia="Arial" w:cs="Arial"/>
          <w:color w:val="1A1A1A"/>
          <w:sz w:val="24"/>
          <w:szCs w:val="24"/>
        </w:rPr>
        <w:t>add_site(site): updates counts from a single aligned k-mer.</w:t>
      </w:r>
    </w:p>
    <w:p>
      <w:pPr>
        <w:pStyle w:val="ListParagraph"/>
        <w:numPr>
          <w:ilvl w:val="0"/>
          <w:numId w:val="98"/>
        </w:numPr>
        <w:spacing w:before="0" w:after="60"/>
        <w:rPr/>
      </w:pPr>
      <w:r>
        <w:rPr>
          <w:rFonts w:eastAsia="Arial" w:cs="Arial"/>
          <w:color w:val="1A1A1A"/>
          <w:sz w:val="24"/>
          <w:szCs w:val="24"/>
        </w:rPr>
        <w:t>build_from_weighted(sequences, weights): EM-style update using fractional counts — weights are the posterior probabilities z[i][j] from the E-step.</w:t>
      </w:r>
    </w:p>
    <w:p>
      <w:pPr>
        <w:pStyle w:val="ListParagraph"/>
        <w:numPr>
          <w:ilvl w:val="0"/>
          <w:numId w:val="99"/>
        </w:numPr>
        <w:spacing w:before="0" w:after="60"/>
        <w:rPr/>
      </w:pPr>
      <w:r>
        <w:rPr>
          <w:rFonts w:eastAsia="Arial" w:cs="Arial"/>
          <w:color w:val="1A1A1A"/>
          <w:sz w:val="24"/>
          <w:szCs w:val="24"/>
        </w:rPr>
        <w:t>score(kmer): returns the total log-odds score of a k-mer.</w:t>
      </w:r>
    </w:p>
    <w:p>
      <w:pPr>
        <w:pStyle w:val="ListParagraph"/>
        <w:numPr>
          <w:ilvl w:val="0"/>
          <w:numId w:val="100"/>
        </w:numPr>
        <w:spacing w:before="0" w:after="60"/>
        <w:rPr/>
      </w:pPr>
      <w:r>
        <w:rPr>
          <w:rFonts w:eastAsia="Arial" w:cs="Arial"/>
          <w:color w:val="1A1A1A"/>
          <w:sz w:val="24"/>
          <w:szCs w:val="24"/>
        </w:rPr>
        <w:t>score_sequence(seq): scores all W-length windows in a sequence; returns list of (position, score) pairs.</w:t>
      </w:r>
    </w:p>
    <w:p>
      <w:pPr>
        <w:pStyle w:val="ListParagraph"/>
        <w:numPr>
          <w:ilvl w:val="0"/>
          <w:numId w:val="101"/>
        </w:numPr>
        <w:spacing w:before="0" w:after="60"/>
        <w:rPr/>
      </w:pPr>
      <w:r>
        <w:rPr>
          <w:rFonts w:eastAsia="Arial" w:cs="Arial"/>
          <w:color w:val="1A1A1A"/>
          <w:sz w:val="24"/>
          <w:szCs w:val="24"/>
        </w:rPr>
        <w:t>best_match(seq): returns the highest-scoring window — used in Gibbs site collection and MEME erasing.</w:t>
      </w:r>
    </w:p>
    <w:p>
      <w:pPr>
        <w:pStyle w:val="ListParagraph"/>
        <w:numPr>
          <w:ilvl w:val="0"/>
          <w:numId w:val="102"/>
        </w:numPr>
        <w:spacing w:before="0" w:after="60"/>
        <w:rPr/>
      </w:pPr>
      <w:r>
        <w:rPr>
          <w:rFonts w:eastAsia="Arial" w:cs="Arial"/>
          <w:color w:val="1A1A1A"/>
          <w:sz w:val="24"/>
          <w:szCs w:val="24"/>
        </w:rPr>
        <w:t>total_information_content(): sum of IC across all positions; used as the primary performance metric.</w:t>
      </w:r>
    </w:p>
    <w:p>
      <w:pPr>
        <w:pStyle w:val="ListParagraph"/>
        <w:numPr>
          <w:ilvl w:val="0"/>
          <w:numId w:val="103"/>
        </w:numPr>
        <w:spacing w:before="0" w:after="60"/>
        <w:rPr/>
      </w:pPr>
      <w:r>
        <w:rPr>
          <w:rFonts w:eastAsia="Arial" w:cs="Arial"/>
          <w:color w:val="1A1A1A"/>
          <w:sz w:val="24"/>
          <w:szCs w:val="24"/>
        </w:rPr>
        <w:t>finalize(): computes the log-odds matrix from current counts; must be called after adding sites.</w:t>
      </w:r>
    </w:p>
    <w:p>
      <w:pPr>
        <w:pStyle w:val="Normal"/>
        <w:spacing w:before="0" w:after="120"/>
        <w:jc w:val="both"/>
        <w:rPr/>
      </w:pPr>
      <w:r>
        <w:rPr>
          <w:rFonts w:eastAsia="Arial" w:cs="Arial"/>
          <w:color w:val="1A1A1A"/>
          <w:sz w:val="24"/>
          <w:szCs w:val="24"/>
        </w:rPr>
        <w:t>Pseudocount smoothing (default p = 0.1) prevents log(0) and reduces overfitting to the limited number of training sites.</w:t>
      </w:r>
    </w:p>
    <w:p>
      <w:pPr>
        <w:pStyle w:val="Heading2"/>
        <w:spacing w:before="280" w:after="120"/>
        <w:rPr/>
      </w:pPr>
      <w:r>
        <w:rPr>
          <w:b/>
          <w:bCs/>
        </w:rPr>
        <w:t>4.3  MEME Algorithm (meme_algorithm.py)</w:t>
      </w:r>
    </w:p>
    <w:p>
      <w:pPr>
        <w:pStyle w:val="Normal"/>
        <w:spacing w:before="0" w:after="120"/>
        <w:jc w:val="both"/>
        <w:rPr/>
      </w:pPr>
      <w:r>
        <w:rPr>
          <w:rFonts w:eastAsia="Arial" w:cs="Arial"/>
          <w:color w:val="1A1A1A"/>
          <w:sz w:val="24"/>
          <w:szCs w:val="24"/>
        </w:rPr>
        <w:t>The MEME implementation follows Bailey &amp; Elkan (1994) closely. The MEMERun class handles a single EM run from one seed; the MEME class orchestrates multiple seeds and multi-motif discovery.</w:t>
      </w:r>
    </w:p>
    <w:p>
      <w:pPr>
        <w:pStyle w:val="Heading3"/>
        <w:spacing w:before="200" w:after="80"/>
        <w:rPr/>
      </w:pPr>
      <w:r>
        <w:rPr>
          <w:b/>
          <w:bCs/>
        </w:rPr>
        <w:t>4.3.1  Seed Generation</w:t>
      </w:r>
    </w:p>
    <w:p>
      <w:pPr>
        <w:pStyle w:val="Normal"/>
        <w:spacing w:before="0" w:after="120"/>
        <w:jc w:val="both"/>
        <w:rPr/>
      </w:pPr>
      <w:r>
        <w:rPr>
          <w:rFonts w:eastAsia="Arial" w:cs="Arial"/>
          <w:color w:val="1A1A1A"/>
          <w:sz w:val="24"/>
          <w:szCs w:val="24"/>
        </w:rPr>
        <w:t>For each EM run, a seed k-mer is drawn from the input sequences. Rather than exhaustive enumeration of all possible k-mers (which is O(L·N) and can be slow for long sequences), the implementation samples at most 2 positions per sequence and selects n_seeds total candidates. The n_seeds parameter was set to 4–6 for this project, balancing speed and coverage.</w:t>
      </w:r>
    </w:p>
    <w:p>
      <w:pPr>
        <w:pStyle w:val="Heading3"/>
        <w:spacing w:before="200" w:after="80"/>
        <w:rPr/>
      </w:pPr>
      <w:r>
        <w:rPr>
          <w:b/>
          <w:bCs/>
        </w:rPr>
        <w:t>4.3.2  E-Step Implementation</w:t>
      </w:r>
    </w:p>
    <w:p>
      <w:pPr>
        <w:pStyle w:val="Normal"/>
        <w:spacing w:before="0" w:after="120"/>
        <w:jc w:val="both"/>
        <w:rPr/>
      </w:pPr>
      <w:r>
        <w:rPr>
          <w:rFonts w:eastAsia="Arial" w:cs="Arial"/>
          <w:color w:val="1A1A1A"/>
          <w:sz w:val="24"/>
          <w:szCs w:val="24"/>
        </w:rPr>
        <w:t>For each position j in sequence i, the motif log-probability is computed as the sum of log-normalised counts at each position, minus the background log-probability. These raw log-odds are exponentiated and normalised to produce posterior probabilities. Under ZOOPS, the motif prior λ = 0.5 modulates how much probability mass is assigned to the motif component vs. the background.</w:t>
      </w:r>
    </w:p>
    <w:p>
      <w:pPr>
        <w:pStyle w:val="Heading3"/>
        <w:spacing w:before="200" w:after="80"/>
        <w:rPr/>
      </w:pPr>
      <w:r>
        <w:rPr>
          <w:b/>
          <w:bCs/>
        </w:rPr>
        <w:t>4.3.3  M-Step Implementation</w:t>
      </w:r>
    </w:p>
    <w:p>
      <w:pPr>
        <w:pStyle w:val="Normal"/>
        <w:spacing w:before="0" w:after="120"/>
        <w:jc w:val="both"/>
        <w:rPr/>
      </w:pPr>
      <w:r>
        <w:rPr>
          <w:rFonts w:eastAsia="Arial" w:cs="Arial"/>
          <w:color w:val="1A1A1A"/>
          <w:sz w:val="24"/>
          <w:szCs w:val="24"/>
        </w:rPr>
        <w:t>The M-step accumulates fractional counts by iterating over all positions in all sequences, weighted by their posterior probabilities from the E-step. A full pseudocount is added before normalisation. The PWM is rebuilt by calling finalize() after each M-step.</w:t>
      </w:r>
    </w:p>
    <w:p>
      <w:pPr>
        <w:pStyle w:val="Heading3"/>
        <w:spacing w:before="200" w:after="80"/>
        <w:rPr/>
      </w:pPr>
      <w:r>
        <w:rPr>
          <w:b/>
          <w:bCs/>
        </w:rPr>
        <w:t>4.3.4  Convergence</w:t>
      </w:r>
    </w:p>
    <w:p>
      <w:pPr>
        <w:pStyle w:val="Normal"/>
        <w:spacing w:before="0" w:after="120"/>
        <w:jc w:val="both"/>
        <w:rPr/>
      </w:pPr>
      <w:r>
        <w:rPr>
          <w:rFonts w:eastAsia="Arial" w:cs="Arial"/>
          <w:color w:val="1A1A1A"/>
          <w:sz w:val="24"/>
          <w:szCs w:val="24"/>
        </w:rPr>
        <w:t>The EM loop is considered converged when the change in log-likelihood between iterations falls below 10⁻⁶. A maximum of 15–20 iterations is enforced for computational efficiency.</w:t>
      </w:r>
    </w:p>
    <w:p>
      <w:pPr>
        <w:pStyle w:val="Heading2"/>
        <w:spacing w:before="280" w:after="120"/>
        <w:rPr/>
      </w:pPr>
      <w:r>
        <w:rPr>
          <w:b/>
          <w:bCs/>
        </w:rPr>
        <w:t>4.4  Gibbs Sampling Algorithm (gibbs_sampling.py)</w:t>
      </w:r>
    </w:p>
    <w:p>
      <w:pPr>
        <w:pStyle w:val="Normal"/>
        <w:spacing w:before="0" w:after="120"/>
        <w:jc w:val="both"/>
        <w:rPr/>
      </w:pPr>
      <w:r>
        <w:rPr>
          <w:rFonts w:eastAsia="Arial" w:cs="Arial"/>
          <w:color w:val="1A1A1A"/>
          <w:sz w:val="24"/>
          <w:szCs w:val="24"/>
        </w:rPr>
        <w:t>The GibbsSampler class implements a single run; GibbsMotifFinder wraps it with multi-start logic and collects the best result across all runs.</w:t>
      </w:r>
    </w:p>
    <w:p>
      <w:pPr>
        <w:pStyle w:val="Heading3"/>
        <w:spacing w:before="200" w:after="80"/>
        <w:rPr/>
      </w:pPr>
      <w:r>
        <w:rPr>
          <w:b/>
          <w:bCs/>
        </w:rPr>
        <w:t>4.4.1  Frequency Matrix Estimation</w:t>
      </w:r>
    </w:p>
    <w:p>
      <w:pPr>
        <w:pStyle w:val="Normal"/>
        <w:spacing w:before="0" w:after="120"/>
        <w:jc w:val="both"/>
        <w:rPr/>
      </w:pPr>
      <w:r>
        <w:rPr>
          <w:rFonts w:eastAsia="Arial" w:cs="Arial"/>
          <w:color w:val="1A1A1A"/>
          <w:sz w:val="24"/>
          <w:szCs w:val="24"/>
        </w:rPr>
        <w:t>The _build_pwm_excluding(exclude_idx) method builds a W×4 frequency matrix from all sequences except the currently held-out one. Pseudocounts (p = 0.1) are added before normalisation. This matrix is rebuilt from scratch at each step — which is computationally correct but can be accelerated with incremental updates in future work.</w:t>
      </w:r>
    </w:p>
    <w:p>
      <w:pPr>
        <w:pStyle w:val="Heading3"/>
        <w:spacing w:before="200" w:after="80"/>
        <w:rPr/>
      </w:pPr>
      <w:r>
        <w:rPr>
          <w:b/>
          <w:bCs/>
        </w:rPr>
        <w:t>4.4.2  Softmax Sampling</w:t>
      </w:r>
    </w:p>
    <w:p>
      <w:pPr>
        <w:pStyle w:val="Normal"/>
        <w:spacing w:before="0" w:after="120"/>
        <w:jc w:val="both"/>
        <w:rPr/>
      </w:pPr>
      <w:r>
        <w:rPr>
          <w:rFonts w:eastAsia="Arial" w:cs="Arial"/>
          <w:color w:val="1A1A1A"/>
          <w:sz w:val="24"/>
          <w:szCs w:val="24"/>
        </w:rPr>
        <w:t>Log-odds scores for all positions in the held-out sequence are computed, then converted to probabilities via numerically stable softmax (subtracting the maximum log-score before exponentiation). A position is sampled from this distribution using numpy.random.choice — the stochastic step that distinguishes Gibbs Sampling from deterministic EM.</w:t>
      </w:r>
    </w:p>
    <w:p>
      <w:pPr>
        <w:pStyle w:val="Heading3"/>
        <w:spacing w:before="200" w:after="80"/>
        <w:rPr/>
      </w:pPr>
      <w:r>
        <w:rPr>
          <w:b/>
          <w:bCs/>
        </w:rPr>
        <w:t>4.4.3  Best Alignment Tracking</w:t>
      </w:r>
    </w:p>
    <w:p>
      <w:pPr>
        <w:pStyle w:val="Normal"/>
        <w:spacing w:before="0" w:after="120"/>
        <w:jc w:val="both"/>
        <w:rPr/>
      </w:pPr>
      <w:r>
        <w:rPr>
          <w:rFonts w:eastAsia="Arial" w:cs="Arial"/>
          <w:color w:val="1A1A1A"/>
          <w:sz w:val="24"/>
          <w:szCs w:val="24"/>
        </w:rPr>
        <w:t>After each complete sweep through all sequences, the alignment score (total log-odds of all aligned k-mers) is computed and compared to the best seen so far. The best alignment is stored and used to construct the final PWM.</w:t>
      </w:r>
    </w:p>
    <w:p>
      <w:pPr>
        <w:pStyle w:val="Heading2"/>
        <w:spacing w:before="280" w:after="120"/>
        <w:rPr/>
      </w:pPr>
      <w:r>
        <w:rPr>
          <w:b/>
          <w:bCs/>
        </w:rPr>
        <w:t>4.5  Visualisation (visualize.py)</w:t>
      </w:r>
    </w:p>
    <w:p>
      <w:pPr>
        <w:pStyle w:val="Normal"/>
        <w:spacing w:before="0" w:after="120"/>
        <w:jc w:val="both"/>
        <w:rPr/>
      </w:pPr>
      <w:r>
        <w:rPr>
          <w:rFonts w:eastAsia="Arial" w:cs="Arial"/>
          <w:color w:val="1A1A1A"/>
          <w:sz w:val="24"/>
          <w:szCs w:val="24"/>
        </w:rPr>
        <w:t>Six visualisation functions are implemented:</w:t>
      </w:r>
    </w:p>
    <w:p>
      <w:pPr>
        <w:pStyle w:val="ListParagraph"/>
        <w:numPr>
          <w:ilvl w:val="0"/>
          <w:numId w:val="104"/>
        </w:numPr>
        <w:spacing w:before="0" w:after="60"/>
        <w:rPr/>
      </w:pPr>
      <w:r>
        <w:rPr>
          <w:rFonts w:eastAsia="Arial" w:cs="Arial"/>
          <w:color w:val="1A1A1A"/>
          <w:sz w:val="24"/>
          <w:szCs w:val="24"/>
        </w:rPr>
        <w:t>plot_sequence_logo: draws a sequence logo where letter height = IC × frequency, using information-content-weighted stacked letter bars. Nucleotide colours follow bioinformatics convention: A=green, C=blue, G=yellow, T=red.</w:t>
      </w:r>
    </w:p>
    <w:p>
      <w:pPr>
        <w:pStyle w:val="ListParagraph"/>
        <w:numPr>
          <w:ilvl w:val="0"/>
          <w:numId w:val="105"/>
        </w:numPr>
        <w:spacing w:before="0" w:after="60"/>
        <w:rPr/>
      </w:pPr>
      <w:r>
        <w:rPr>
          <w:rFonts w:eastAsia="Arial" w:cs="Arial"/>
          <w:color w:val="1A1A1A"/>
          <w:sz w:val="24"/>
          <w:szCs w:val="24"/>
        </w:rPr>
        <w:t>plot_pwm_heatmap: displays the normalised frequency matrix as a 4×W heatmap with colour-coded cells and annotated frequency values.</w:t>
      </w:r>
    </w:p>
    <w:p>
      <w:pPr>
        <w:pStyle w:val="ListParagraph"/>
        <w:numPr>
          <w:ilvl w:val="0"/>
          <w:numId w:val="106"/>
        </w:numPr>
        <w:spacing w:before="0" w:after="60"/>
        <w:rPr/>
      </w:pPr>
      <w:r>
        <w:rPr>
          <w:rFonts w:eastAsia="Arial" w:cs="Arial"/>
          <w:color w:val="1A1A1A"/>
          <w:sz w:val="24"/>
          <w:szCs w:val="24"/>
        </w:rPr>
        <w:t>plot_gibbs_convergence: plots alignment score vs. iteration number for each Gibbs run, showing convergence behaviour.</w:t>
      </w:r>
    </w:p>
    <w:p>
      <w:pPr>
        <w:pStyle w:val="ListParagraph"/>
        <w:numPr>
          <w:ilvl w:val="0"/>
          <w:numId w:val="107"/>
        </w:numPr>
        <w:spacing w:before="0" w:after="60"/>
        <w:rPr/>
      </w:pPr>
      <w:r>
        <w:rPr>
          <w:rFonts w:eastAsia="Arial" w:cs="Arial"/>
          <w:color w:val="1A1A1A"/>
          <w:sz w:val="24"/>
          <w:szCs w:val="24"/>
        </w:rPr>
        <w:t>plot_algorithm_comparison: grouped bar chart comparing MEME and Gibbs on a specified metric across multiple datasets.</w:t>
      </w:r>
    </w:p>
    <w:p>
      <w:pPr>
        <w:pStyle w:val="ListParagraph"/>
        <w:numPr>
          <w:ilvl w:val="0"/>
          <w:numId w:val="108"/>
        </w:numPr>
        <w:spacing w:before="0" w:after="60"/>
        <w:rPr/>
      </w:pPr>
      <w:r>
        <w:rPr>
          <w:rFonts w:eastAsia="Arial" w:cs="Arial"/>
          <w:color w:val="1A1A1A"/>
          <w:sz w:val="24"/>
          <w:szCs w:val="24"/>
        </w:rPr>
        <w:t>plot_site_distribution: histogram of predicted site positions across sequences, revealing whether motifs cluster at specific sequence positions.</w:t>
      </w:r>
    </w:p>
    <w:p>
      <w:pPr>
        <w:pStyle w:val="ListParagraph"/>
        <w:numPr>
          <w:ilvl w:val="0"/>
          <w:numId w:val="109"/>
        </w:numPr>
        <w:spacing w:before="0" w:after="60"/>
        <w:rPr/>
      </w:pPr>
      <w:r>
        <w:rPr>
          <w:rFonts w:eastAsia="Arial" w:cs="Arial"/>
          <w:color w:val="1A1A1A"/>
          <w:sz w:val="24"/>
          <w:szCs w:val="24"/>
        </w:rPr>
        <w:t>plot_multi_motif_ic: side-by-side bar charts of IC per position for each discovered motif, supporting multi-motif analysis.</w:t>
      </w:r>
    </w:p>
    <w:p>
      <w:pPr>
        <w:pStyle w:val="Heading2"/>
        <w:spacing w:before="280" w:after="120"/>
        <w:rPr/>
      </w:pPr>
      <w:r>
        <w:rPr>
          <w:b/>
          <w:bCs/>
        </w:rPr>
        <w:t>4.6  Data Acquisition (fetch_real_data.py)</w:t>
      </w:r>
    </w:p>
    <w:p>
      <w:pPr>
        <w:pStyle w:val="Normal"/>
        <w:spacing w:before="0" w:after="120"/>
        <w:jc w:val="both"/>
        <w:rPr/>
      </w:pPr>
      <w:r>
        <w:rPr>
          <w:rFonts w:eastAsia="Arial" w:cs="Arial"/>
          <w:color w:val="1A1A1A"/>
          <w:sz w:val="24"/>
          <w:szCs w:val="24"/>
        </w:rPr>
        <w:t>The fetch_real_data.py script uses the Python requests library to query the JASPAR REST API and NCBI Entrez eutils. For JASPAR, each matrix is fetched from https://jaspar.elixir.no/api/v1/matrix/{matrix_id}/?format=json, which returns a JSON object containing the PFM counts, organism information, experiment type, and PubMed ID. For NCBI, the efetch endpoint is queried with specific chromosome accession numbers and coordinate ranges to retrieve real upstream promoter sequences for selected genes.</w:t>
      </w:r>
    </w:p>
    <w:p>
      <w:pPr>
        <w:pStyle w:val="Normal"/>
        <w:spacing w:before="0" w:after="120"/>
        <w:jc w:val="both"/>
        <w:rPr/>
      </w:pPr>
      <w:r>
        <w:rPr>
          <w:rFonts w:eastAsia="Arial" w:cs="Arial"/>
          <w:color w:val="1A1A1A"/>
          <w:sz w:val="24"/>
          <w:szCs w:val="24"/>
        </w:rPr>
        <w:t>A minimum 350 ms delay between NCBI requests respects their rate limit of 3 requests per second without an API key.</w:t>
      </w:r>
    </w:p>
    <w:p>
      <w:pPr>
        <w:pStyle w:val="Normal"/>
        <w:spacing w:before="0" w:after="0"/>
        <w:rPr/>
      </w:pPr>
      <w:r>
        <w:rPr/>
      </w:r>
      <w:r>
        <w:br w:type="page"/>
      </w:r>
    </w:p>
    <w:p>
      <w:pPr>
        <w:pStyle w:val="Heading1"/>
        <w:spacing w:before="360" w:after="180"/>
        <w:rPr/>
      </w:pPr>
      <w:r>
        <w:rPr>
          <w:b/>
          <w:bCs/>
        </w:rPr>
        <w:t>Chapter 5: Results and Analysis</w:t>
      </w:r>
    </w:p>
    <w:p>
      <w:pPr>
        <w:pStyle w:val="Normal"/>
        <w:pBdr>
          <w:bottom w:val="single" w:sz="6" w:space="1" w:color="1E3A5F"/>
        </w:pBdr>
        <w:spacing w:before="0" w:after="120"/>
        <w:rPr/>
      </w:pPr>
      <w:r>
        <w:rPr/>
      </w:r>
    </w:p>
    <w:p>
      <w:pPr>
        <w:pStyle w:val="Heading2"/>
        <w:spacing w:before="280" w:after="120"/>
        <w:rPr/>
      </w:pPr>
      <w:r>
        <w:rPr>
          <w:b/>
          <w:bCs/>
        </w:rPr>
        <w:t>5.1  Summary of Results</w:t>
      </w:r>
    </w:p>
    <w:p>
      <w:pPr>
        <w:pStyle w:val="Normal"/>
        <w:spacing w:before="0" w:after="120"/>
        <w:jc w:val="both"/>
        <w:rPr/>
      </w:pPr>
      <w:r>
        <w:rPr>
          <w:rFonts w:eastAsia="Arial" w:cs="Arial"/>
          <w:color w:val="1A1A1A"/>
          <w:sz w:val="24"/>
          <w:szCs w:val="24"/>
        </w:rPr>
        <w:t>Both MEME and Gibbs Sampling were run on 11 datasets (6 real JASPAR groupings + 4 individual human TF sets + 2 synthetic benchmarks). Table 5.1 summarises the consensus sequences discovered and information content achieved by each algorithm. The Gibbs Δ column shows the IC advantage of Gibbs Sampling over MEME.</w:t>
      </w:r>
    </w:p>
    <w:p>
      <w:pPr>
        <w:pStyle w:val="Normal"/>
        <w:spacing w:before="0" w:after="80"/>
        <w:rPr/>
      </w:pPr>
      <w:r>
        <w:rPr/>
      </w:r>
    </w:p>
    <w:tbl>
      <w:tblPr>
        <w:tblW w:w="9360" w:type="dxa"/>
        <w:jc w:val="left"/>
        <w:tblInd w:w="0" w:type="dxa"/>
        <w:tblLayout w:type="fixed"/>
        <w:tblCellMar>
          <w:top w:w="80" w:type="dxa"/>
          <w:left w:w="120" w:type="dxa"/>
          <w:bottom w:w="80" w:type="dxa"/>
          <w:right w:w="120" w:type="dxa"/>
        </w:tblCellMar>
      </w:tblPr>
      <w:tblGrid>
        <w:gridCol w:w="2100"/>
        <w:gridCol w:w="1399"/>
        <w:gridCol w:w="901"/>
        <w:gridCol w:w="1400"/>
        <w:gridCol w:w="899"/>
        <w:gridCol w:w="1503"/>
        <w:gridCol w:w="1157"/>
      </w:tblGrid>
      <w:tr>
        <w:trPr>
          <w:tblHeader w:val="true"/>
        </w:trPr>
        <w:tc>
          <w:tcPr>
            <w:tcW w:w="2100" w:type="dxa"/>
            <w:tcBorders>
              <w:top w:val="single" w:sz="4" w:space="0" w:color="1E3A5F"/>
              <w:left w:val="single" w:sz="4" w:space="0" w:color="1E3A5F"/>
              <w:bottom w:val="single" w:sz="4" w:space="0" w:color="1E3A5F"/>
              <w:right w:val="single" w:sz="4" w:space="0" w:color="1E3A5F"/>
            </w:tcBorders>
            <w:shd w:fill="1E3A5F" w:val="clear"/>
            <w:vAlign w:val="center"/>
          </w:tcPr>
          <w:p>
            <w:pPr>
              <w:pStyle w:val="Normal"/>
              <w:widowControl w:val="false"/>
              <w:jc w:val="center"/>
              <w:rPr/>
            </w:pPr>
            <w:r>
              <w:rPr>
                <w:rFonts w:eastAsia="Arial" w:cs="Arial"/>
                <w:b/>
                <w:bCs/>
                <w:color w:val="FFFFFF"/>
                <w:sz w:val="20"/>
                <w:szCs w:val="20"/>
              </w:rPr>
              <w:t>Dataset</w:t>
            </w:r>
          </w:p>
        </w:tc>
        <w:tc>
          <w:tcPr>
            <w:tcW w:w="1399" w:type="dxa"/>
            <w:tcBorders>
              <w:top w:val="single" w:sz="4" w:space="0" w:color="1E3A5F"/>
              <w:left w:val="single" w:sz="4" w:space="0" w:color="1E3A5F"/>
              <w:bottom w:val="single" w:sz="4" w:space="0" w:color="1E3A5F"/>
              <w:right w:val="single" w:sz="4" w:space="0" w:color="1E3A5F"/>
            </w:tcBorders>
            <w:shd w:fill="1E3A5F" w:val="clear"/>
            <w:vAlign w:val="center"/>
          </w:tcPr>
          <w:p>
            <w:pPr>
              <w:pStyle w:val="Normal"/>
              <w:widowControl w:val="false"/>
              <w:jc w:val="center"/>
              <w:rPr/>
            </w:pPr>
            <w:r>
              <w:rPr>
                <w:rFonts w:eastAsia="Arial" w:cs="Arial"/>
                <w:b/>
                <w:bCs/>
                <w:color w:val="FFFFFF"/>
                <w:sz w:val="20"/>
                <w:szCs w:val="20"/>
              </w:rPr>
              <w:t>MEME Consensus</w:t>
            </w:r>
          </w:p>
        </w:tc>
        <w:tc>
          <w:tcPr>
            <w:tcW w:w="901" w:type="dxa"/>
            <w:tcBorders>
              <w:top w:val="single" w:sz="4" w:space="0" w:color="1E3A5F"/>
              <w:left w:val="single" w:sz="4" w:space="0" w:color="1E3A5F"/>
              <w:bottom w:val="single" w:sz="4" w:space="0" w:color="1E3A5F"/>
              <w:right w:val="single" w:sz="4" w:space="0" w:color="1E3A5F"/>
            </w:tcBorders>
            <w:shd w:fill="1E3A5F" w:val="clear"/>
            <w:vAlign w:val="center"/>
          </w:tcPr>
          <w:p>
            <w:pPr>
              <w:pStyle w:val="Normal"/>
              <w:widowControl w:val="false"/>
              <w:jc w:val="center"/>
              <w:rPr/>
            </w:pPr>
            <w:r>
              <w:rPr>
                <w:rFonts w:eastAsia="Arial" w:cs="Arial"/>
                <w:b/>
                <w:bCs/>
                <w:color w:val="FFFFFF"/>
                <w:sz w:val="20"/>
                <w:szCs w:val="20"/>
              </w:rPr>
              <w:t>MEME IC</w:t>
            </w:r>
          </w:p>
        </w:tc>
        <w:tc>
          <w:tcPr>
            <w:tcW w:w="1400" w:type="dxa"/>
            <w:tcBorders>
              <w:top w:val="single" w:sz="4" w:space="0" w:color="1E3A5F"/>
              <w:left w:val="single" w:sz="4" w:space="0" w:color="1E3A5F"/>
              <w:bottom w:val="single" w:sz="4" w:space="0" w:color="1E3A5F"/>
              <w:right w:val="single" w:sz="4" w:space="0" w:color="1E3A5F"/>
            </w:tcBorders>
            <w:shd w:fill="1E3A5F" w:val="clear"/>
            <w:vAlign w:val="center"/>
          </w:tcPr>
          <w:p>
            <w:pPr>
              <w:pStyle w:val="Normal"/>
              <w:widowControl w:val="false"/>
              <w:jc w:val="center"/>
              <w:rPr/>
            </w:pPr>
            <w:r>
              <w:rPr>
                <w:rFonts w:eastAsia="Arial" w:cs="Arial"/>
                <w:b/>
                <w:bCs/>
                <w:color w:val="FFFFFF"/>
                <w:sz w:val="20"/>
                <w:szCs w:val="20"/>
              </w:rPr>
              <w:t>Gibbs Consensus</w:t>
            </w:r>
          </w:p>
        </w:tc>
        <w:tc>
          <w:tcPr>
            <w:tcW w:w="899" w:type="dxa"/>
            <w:tcBorders>
              <w:top w:val="single" w:sz="4" w:space="0" w:color="1E3A5F"/>
              <w:left w:val="single" w:sz="4" w:space="0" w:color="1E3A5F"/>
              <w:bottom w:val="single" w:sz="4" w:space="0" w:color="1E3A5F"/>
              <w:right w:val="single" w:sz="4" w:space="0" w:color="1E3A5F"/>
            </w:tcBorders>
            <w:shd w:fill="1E3A5F" w:val="clear"/>
            <w:vAlign w:val="center"/>
          </w:tcPr>
          <w:p>
            <w:pPr>
              <w:pStyle w:val="Normal"/>
              <w:widowControl w:val="false"/>
              <w:jc w:val="center"/>
              <w:rPr/>
            </w:pPr>
            <w:r>
              <w:rPr>
                <w:rFonts w:eastAsia="Arial" w:cs="Arial"/>
                <w:b/>
                <w:bCs/>
                <w:color w:val="FFFFFF"/>
                <w:sz w:val="20"/>
                <w:szCs w:val="20"/>
              </w:rPr>
              <w:t>Gibbs IC</w:t>
            </w:r>
          </w:p>
        </w:tc>
        <w:tc>
          <w:tcPr>
            <w:tcW w:w="1503" w:type="dxa"/>
            <w:tcBorders>
              <w:top w:val="single" w:sz="4" w:space="0" w:color="1E3A5F"/>
              <w:left w:val="single" w:sz="4" w:space="0" w:color="1E3A5F"/>
              <w:bottom w:val="single" w:sz="4" w:space="0" w:color="1E3A5F"/>
              <w:right w:val="single" w:sz="4" w:space="0" w:color="1E3A5F"/>
            </w:tcBorders>
            <w:shd w:fill="1E3A5F" w:val="clear"/>
            <w:vAlign w:val="center"/>
          </w:tcPr>
          <w:p>
            <w:pPr>
              <w:pStyle w:val="Normal"/>
              <w:widowControl w:val="false"/>
              <w:jc w:val="center"/>
              <w:rPr/>
            </w:pPr>
            <w:r>
              <w:rPr>
                <w:rFonts w:eastAsia="Arial" w:cs="Arial"/>
                <w:b/>
                <w:bCs/>
                <w:color w:val="FFFFFF"/>
                <w:sz w:val="20"/>
                <w:szCs w:val="20"/>
              </w:rPr>
              <w:t>E-value</w:t>
            </w:r>
          </w:p>
        </w:tc>
        <w:tc>
          <w:tcPr>
            <w:tcW w:w="1157" w:type="dxa"/>
            <w:tcBorders>
              <w:top w:val="single" w:sz="4" w:space="0" w:color="1E3A5F"/>
              <w:left w:val="single" w:sz="4" w:space="0" w:color="1E3A5F"/>
              <w:bottom w:val="single" w:sz="4" w:space="0" w:color="1E3A5F"/>
              <w:right w:val="single" w:sz="4" w:space="0" w:color="1E3A5F"/>
            </w:tcBorders>
            <w:shd w:fill="1E3A5F" w:val="clear"/>
            <w:vAlign w:val="center"/>
          </w:tcPr>
          <w:p>
            <w:pPr>
              <w:pStyle w:val="Normal"/>
              <w:widowControl w:val="false"/>
              <w:jc w:val="center"/>
              <w:rPr/>
            </w:pPr>
            <w:r>
              <w:rPr>
                <w:rFonts w:eastAsia="Arial" w:cs="Arial"/>
                <w:b/>
                <w:bCs/>
                <w:color w:val="FFFFFF"/>
                <w:sz w:val="20"/>
                <w:szCs w:val="20"/>
              </w:rPr>
              <w:t>Gibbs Δ</w:t>
            </w:r>
          </w:p>
        </w:tc>
      </w:tr>
      <w:tr>
        <w:trPr/>
        <w:tc>
          <w:tcPr>
            <w:tcW w:w="2100" w:type="dxa"/>
            <w:tcBorders>
              <w:top w:val="single" w:sz="4" w:space="0" w:color="CCCCCC"/>
              <w:left w:val="single" w:sz="4" w:space="0" w:color="CCCCCC"/>
              <w:bottom w:val="single" w:sz="4" w:space="0" w:color="CCCCCC"/>
              <w:right w:val="single" w:sz="4" w:space="0" w:color="CCCCCC"/>
            </w:tcBorders>
            <w:shd w:fill="F0F4F8"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CTCF (ChIP-seq)</w:t>
            </w:r>
          </w:p>
        </w:tc>
        <w:tc>
          <w:tcPr>
            <w:tcW w:w="1399" w:type="dxa"/>
            <w:tcBorders>
              <w:top w:val="single" w:sz="4" w:space="0" w:color="CCCCCC"/>
              <w:left w:val="single" w:sz="4" w:space="0" w:color="CCCCCC"/>
              <w:bottom w:val="single" w:sz="4" w:space="0" w:color="CCCCCC"/>
              <w:right w:val="single" w:sz="4" w:space="0" w:color="CCCCCC"/>
            </w:tcBorders>
            <w:shd w:fill="F0F4F8" w:val="clear"/>
            <w:tcMar>
              <w:top w:w="60" w:type="dxa"/>
              <w:left w:w="100" w:type="dxa"/>
              <w:bottom w:w="60" w:type="dxa"/>
              <w:right w:w="100" w:type="dxa"/>
            </w:tcMar>
            <w:vAlign w:val="center"/>
          </w:tcPr>
          <w:p>
            <w:pPr>
              <w:pStyle w:val="Normal"/>
              <w:widowControl w:val="false"/>
              <w:jc w:val="left"/>
              <w:rPr/>
            </w:pPr>
            <w:r>
              <w:rPr>
                <w:rFonts w:eastAsia="Courier New" w:cs="Courier New" w:ascii="Courier New" w:hAnsi="Courier New"/>
                <w:b w:val="false"/>
                <w:bCs w:val="false"/>
                <w:color w:val="1E3A5F"/>
                <w:sz w:val="18"/>
                <w:szCs w:val="18"/>
              </w:rPr>
              <w:t>CAGGGGGCAC</w:t>
            </w:r>
          </w:p>
        </w:tc>
        <w:tc>
          <w:tcPr>
            <w:tcW w:w="901" w:type="dxa"/>
            <w:tcBorders>
              <w:top w:val="single" w:sz="4" w:space="0" w:color="CCCCCC"/>
              <w:left w:val="single" w:sz="4" w:space="0" w:color="CCCCCC"/>
              <w:bottom w:val="single" w:sz="4" w:space="0" w:color="CCCCCC"/>
              <w:right w:val="single" w:sz="4" w:space="0" w:color="CCCCCC"/>
            </w:tcBorders>
            <w:shd w:fill="F0F4F8"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9.00</w:t>
            </w:r>
          </w:p>
        </w:tc>
        <w:tc>
          <w:tcPr>
            <w:tcW w:w="1400" w:type="dxa"/>
            <w:tcBorders>
              <w:top w:val="single" w:sz="4" w:space="0" w:color="CCCCCC"/>
              <w:left w:val="single" w:sz="4" w:space="0" w:color="CCCCCC"/>
              <w:bottom w:val="single" w:sz="4" w:space="0" w:color="CCCCCC"/>
              <w:right w:val="single" w:sz="4" w:space="0" w:color="CCCCCC"/>
            </w:tcBorders>
            <w:shd w:fill="F0F4F8" w:val="clear"/>
            <w:tcMar>
              <w:top w:w="60" w:type="dxa"/>
              <w:left w:w="100" w:type="dxa"/>
              <w:bottom w:w="60" w:type="dxa"/>
              <w:right w:w="100" w:type="dxa"/>
            </w:tcMar>
            <w:vAlign w:val="center"/>
          </w:tcPr>
          <w:p>
            <w:pPr>
              <w:pStyle w:val="Normal"/>
              <w:widowControl w:val="false"/>
              <w:jc w:val="left"/>
              <w:rPr/>
            </w:pPr>
            <w:r>
              <w:rPr>
                <w:rFonts w:eastAsia="Courier New" w:cs="Courier New" w:ascii="Courier New" w:hAnsi="Courier New"/>
                <w:b w:val="false"/>
                <w:bCs w:val="false"/>
                <w:color w:val="1E3A5F"/>
                <w:sz w:val="18"/>
                <w:szCs w:val="18"/>
              </w:rPr>
              <w:t>CACCAGGGGG</w:t>
            </w:r>
          </w:p>
        </w:tc>
        <w:tc>
          <w:tcPr>
            <w:tcW w:w="899" w:type="dxa"/>
            <w:tcBorders>
              <w:top w:val="single" w:sz="4" w:space="0" w:color="CCCCCC"/>
              <w:left w:val="single" w:sz="4" w:space="0" w:color="CCCCCC"/>
              <w:bottom w:val="single" w:sz="4" w:space="0" w:color="CCCCCC"/>
              <w:right w:val="single" w:sz="4" w:space="0" w:color="CCCCCC"/>
            </w:tcBorders>
            <w:shd w:fill="F0F4F8"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11.29</w:t>
            </w:r>
          </w:p>
        </w:tc>
        <w:tc>
          <w:tcPr>
            <w:tcW w:w="1503" w:type="dxa"/>
            <w:tcBorders>
              <w:top w:val="single" w:sz="4" w:space="0" w:color="CCCCCC"/>
              <w:left w:val="single" w:sz="4" w:space="0" w:color="CCCCCC"/>
              <w:bottom w:val="single" w:sz="4" w:space="0" w:color="CCCCCC"/>
              <w:right w:val="single" w:sz="4" w:space="0" w:color="CCCCCC"/>
            </w:tcBorders>
            <w:shd w:fill="F0F4F8"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4.7×10⁻¹³⁸</w:t>
            </w:r>
          </w:p>
        </w:tc>
        <w:tc>
          <w:tcPr>
            <w:tcW w:w="1157" w:type="dxa"/>
            <w:tcBorders>
              <w:top w:val="single" w:sz="4" w:space="0" w:color="CCCCCC"/>
              <w:left w:val="single" w:sz="4" w:space="0" w:color="CCCCCC"/>
              <w:bottom w:val="single" w:sz="4" w:space="0" w:color="CCCCCC"/>
              <w:right w:val="single" w:sz="4" w:space="0" w:color="CCCCCC"/>
            </w:tcBorders>
            <w:shd w:fill="F0F4F8" w:val="clear"/>
            <w:tcMar>
              <w:top w:w="60" w:type="dxa"/>
              <w:left w:w="100" w:type="dxa"/>
              <w:bottom w:w="60" w:type="dxa"/>
              <w:right w:w="100" w:type="dxa"/>
            </w:tcMar>
            <w:vAlign w:val="center"/>
          </w:tcPr>
          <w:p>
            <w:pPr>
              <w:pStyle w:val="Normal"/>
              <w:widowControl w:val="false"/>
              <w:jc w:val="left"/>
              <w:rPr/>
            </w:pPr>
            <w:r>
              <w:rPr>
                <w:rFonts w:eastAsia="Arial" w:cs="Arial"/>
                <w:b/>
                <w:bCs/>
                <w:color w:val="1A6B3A"/>
                <w:sz w:val="20"/>
                <w:szCs w:val="20"/>
              </w:rPr>
              <w:t>+2.29</w:t>
            </w:r>
          </w:p>
        </w:tc>
      </w:tr>
      <w:tr>
        <w:trPr/>
        <w:tc>
          <w:tcPr>
            <w:tcW w:w="2100" w:type="dxa"/>
            <w:tcBorders>
              <w:top w:val="single" w:sz="4" w:space="0" w:color="CCCCCC"/>
              <w:left w:val="single" w:sz="4" w:space="0" w:color="CCCCCC"/>
              <w:bottom w:val="single" w:sz="4" w:space="0" w:color="CCCCCC"/>
              <w:right w:val="single" w:sz="4" w:space="0" w:color="CCCCCC"/>
            </w:tcBorders>
            <w:shd w:fill="FFFFFF"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E2F1 (HT-SELEX)</w:t>
            </w:r>
          </w:p>
        </w:tc>
        <w:tc>
          <w:tcPr>
            <w:tcW w:w="1399" w:type="dxa"/>
            <w:tcBorders>
              <w:top w:val="single" w:sz="4" w:space="0" w:color="CCCCCC"/>
              <w:left w:val="single" w:sz="4" w:space="0" w:color="CCCCCC"/>
              <w:bottom w:val="single" w:sz="4" w:space="0" w:color="CCCCCC"/>
              <w:right w:val="single" w:sz="4" w:space="0" w:color="CCCCCC"/>
            </w:tcBorders>
            <w:shd w:fill="FFFFFF" w:val="clear"/>
            <w:tcMar>
              <w:top w:w="60" w:type="dxa"/>
              <w:left w:w="100" w:type="dxa"/>
              <w:bottom w:w="60" w:type="dxa"/>
              <w:right w:w="100" w:type="dxa"/>
            </w:tcMar>
            <w:vAlign w:val="center"/>
          </w:tcPr>
          <w:p>
            <w:pPr>
              <w:pStyle w:val="Normal"/>
              <w:widowControl w:val="false"/>
              <w:jc w:val="left"/>
              <w:rPr/>
            </w:pPr>
            <w:r>
              <w:rPr>
                <w:rFonts w:eastAsia="Courier New" w:cs="Courier New" w:ascii="Courier New" w:hAnsi="Courier New"/>
                <w:b w:val="false"/>
                <w:bCs w:val="false"/>
                <w:color w:val="1E3A5F"/>
                <w:sz w:val="18"/>
                <w:szCs w:val="18"/>
              </w:rPr>
              <w:t>TTGGCGCC</w:t>
            </w:r>
          </w:p>
        </w:tc>
        <w:tc>
          <w:tcPr>
            <w:tcW w:w="901" w:type="dxa"/>
            <w:tcBorders>
              <w:top w:val="single" w:sz="4" w:space="0" w:color="CCCCCC"/>
              <w:left w:val="single" w:sz="4" w:space="0" w:color="CCCCCC"/>
              <w:bottom w:val="single" w:sz="4" w:space="0" w:color="CCCCCC"/>
              <w:right w:val="single" w:sz="4" w:space="0" w:color="CCCCCC"/>
            </w:tcBorders>
            <w:shd w:fill="FFFFFF"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10.11</w:t>
            </w:r>
          </w:p>
        </w:tc>
        <w:tc>
          <w:tcPr>
            <w:tcW w:w="1400" w:type="dxa"/>
            <w:tcBorders>
              <w:top w:val="single" w:sz="4" w:space="0" w:color="CCCCCC"/>
              <w:left w:val="single" w:sz="4" w:space="0" w:color="CCCCCC"/>
              <w:bottom w:val="single" w:sz="4" w:space="0" w:color="CCCCCC"/>
              <w:right w:val="single" w:sz="4" w:space="0" w:color="CCCCCC"/>
            </w:tcBorders>
            <w:shd w:fill="FFFFFF" w:val="clear"/>
            <w:tcMar>
              <w:top w:w="60" w:type="dxa"/>
              <w:left w:w="100" w:type="dxa"/>
              <w:bottom w:w="60" w:type="dxa"/>
              <w:right w:w="100" w:type="dxa"/>
            </w:tcMar>
            <w:vAlign w:val="center"/>
          </w:tcPr>
          <w:p>
            <w:pPr>
              <w:pStyle w:val="Normal"/>
              <w:widowControl w:val="false"/>
              <w:jc w:val="left"/>
              <w:rPr/>
            </w:pPr>
            <w:r>
              <w:rPr>
                <w:rFonts w:eastAsia="Courier New" w:cs="Courier New" w:ascii="Courier New" w:hAnsi="Courier New"/>
                <w:b w:val="false"/>
                <w:bCs w:val="false"/>
                <w:color w:val="1E3A5F"/>
                <w:sz w:val="18"/>
                <w:szCs w:val="18"/>
              </w:rPr>
              <w:t>TTGGCGCC</w:t>
            </w:r>
          </w:p>
        </w:tc>
        <w:tc>
          <w:tcPr>
            <w:tcW w:w="899" w:type="dxa"/>
            <w:tcBorders>
              <w:top w:val="single" w:sz="4" w:space="0" w:color="CCCCCC"/>
              <w:left w:val="single" w:sz="4" w:space="0" w:color="CCCCCC"/>
              <w:bottom w:val="single" w:sz="4" w:space="0" w:color="CCCCCC"/>
              <w:right w:val="single" w:sz="4" w:space="0" w:color="CCCCCC"/>
            </w:tcBorders>
            <w:shd w:fill="FFFFFF"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11.12</w:t>
            </w:r>
          </w:p>
        </w:tc>
        <w:tc>
          <w:tcPr>
            <w:tcW w:w="1503" w:type="dxa"/>
            <w:tcBorders>
              <w:top w:val="single" w:sz="4" w:space="0" w:color="CCCCCC"/>
              <w:left w:val="single" w:sz="4" w:space="0" w:color="CCCCCC"/>
              <w:bottom w:val="single" w:sz="4" w:space="0" w:color="CCCCCC"/>
              <w:right w:val="single" w:sz="4" w:space="0" w:color="CCCCCC"/>
            </w:tcBorders>
            <w:shd w:fill="FFFFFF"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5.7×10⁻¹⁵²</w:t>
            </w:r>
          </w:p>
        </w:tc>
        <w:tc>
          <w:tcPr>
            <w:tcW w:w="1157" w:type="dxa"/>
            <w:tcBorders>
              <w:top w:val="single" w:sz="4" w:space="0" w:color="CCCCCC"/>
              <w:left w:val="single" w:sz="4" w:space="0" w:color="CCCCCC"/>
              <w:bottom w:val="single" w:sz="4" w:space="0" w:color="CCCCCC"/>
              <w:right w:val="single" w:sz="4" w:space="0" w:color="CCCCCC"/>
            </w:tcBorders>
            <w:shd w:fill="FFFFFF" w:val="clear"/>
            <w:tcMar>
              <w:top w:w="60" w:type="dxa"/>
              <w:left w:w="100" w:type="dxa"/>
              <w:bottom w:w="60" w:type="dxa"/>
              <w:right w:w="100" w:type="dxa"/>
            </w:tcMar>
            <w:vAlign w:val="center"/>
          </w:tcPr>
          <w:p>
            <w:pPr>
              <w:pStyle w:val="Normal"/>
              <w:widowControl w:val="false"/>
              <w:jc w:val="left"/>
              <w:rPr/>
            </w:pPr>
            <w:r>
              <w:rPr>
                <w:rFonts w:eastAsia="Arial" w:cs="Arial"/>
                <w:b/>
                <w:bCs/>
                <w:color w:val="1A6B3A"/>
                <w:sz w:val="20"/>
                <w:szCs w:val="20"/>
              </w:rPr>
              <w:t>+1.01</w:t>
            </w:r>
          </w:p>
        </w:tc>
      </w:tr>
      <w:tr>
        <w:trPr/>
        <w:tc>
          <w:tcPr>
            <w:tcW w:w="2100" w:type="dxa"/>
            <w:tcBorders>
              <w:top w:val="single" w:sz="4" w:space="0" w:color="CCCCCC"/>
              <w:left w:val="single" w:sz="4" w:space="0" w:color="CCCCCC"/>
              <w:bottom w:val="single" w:sz="4" w:space="0" w:color="CCCCCC"/>
              <w:right w:val="single" w:sz="4" w:space="0" w:color="CCCCCC"/>
            </w:tcBorders>
            <w:shd w:fill="F0F4F8"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E2F1 (ChIP-seq)</w:t>
            </w:r>
          </w:p>
        </w:tc>
        <w:tc>
          <w:tcPr>
            <w:tcW w:w="1399" w:type="dxa"/>
            <w:tcBorders>
              <w:top w:val="single" w:sz="4" w:space="0" w:color="CCCCCC"/>
              <w:left w:val="single" w:sz="4" w:space="0" w:color="CCCCCC"/>
              <w:bottom w:val="single" w:sz="4" w:space="0" w:color="CCCCCC"/>
              <w:right w:val="single" w:sz="4" w:space="0" w:color="CCCCCC"/>
            </w:tcBorders>
            <w:shd w:fill="F0F4F8" w:val="clear"/>
            <w:tcMar>
              <w:top w:w="60" w:type="dxa"/>
              <w:left w:w="100" w:type="dxa"/>
              <w:bottom w:w="60" w:type="dxa"/>
              <w:right w:w="100" w:type="dxa"/>
            </w:tcMar>
            <w:vAlign w:val="center"/>
          </w:tcPr>
          <w:p>
            <w:pPr>
              <w:pStyle w:val="Normal"/>
              <w:widowControl w:val="false"/>
              <w:jc w:val="left"/>
              <w:rPr/>
            </w:pPr>
            <w:r>
              <w:rPr>
                <w:rFonts w:eastAsia="Courier New" w:cs="Courier New" w:ascii="Courier New" w:hAnsi="Courier New"/>
                <w:b w:val="false"/>
                <w:bCs w:val="false"/>
                <w:color w:val="1E3A5F"/>
                <w:sz w:val="18"/>
                <w:szCs w:val="18"/>
              </w:rPr>
              <w:t>GGCGGGAG</w:t>
            </w:r>
          </w:p>
        </w:tc>
        <w:tc>
          <w:tcPr>
            <w:tcW w:w="901" w:type="dxa"/>
            <w:tcBorders>
              <w:top w:val="single" w:sz="4" w:space="0" w:color="CCCCCC"/>
              <w:left w:val="single" w:sz="4" w:space="0" w:color="CCCCCC"/>
              <w:bottom w:val="single" w:sz="4" w:space="0" w:color="CCCCCC"/>
              <w:right w:val="single" w:sz="4" w:space="0" w:color="CCCCCC"/>
            </w:tcBorders>
            <w:shd w:fill="F0F4F8"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8.47</w:t>
            </w:r>
          </w:p>
        </w:tc>
        <w:tc>
          <w:tcPr>
            <w:tcW w:w="1400" w:type="dxa"/>
            <w:tcBorders>
              <w:top w:val="single" w:sz="4" w:space="0" w:color="CCCCCC"/>
              <w:left w:val="single" w:sz="4" w:space="0" w:color="CCCCCC"/>
              <w:bottom w:val="single" w:sz="4" w:space="0" w:color="CCCCCC"/>
              <w:right w:val="single" w:sz="4" w:space="0" w:color="CCCCCC"/>
            </w:tcBorders>
            <w:shd w:fill="F0F4F8" w:val="clear"/>
            <w:tcMar>
              <w:top w:w="60" w:type="dxa"/>
              <w:left w:w="100" w:type="dxa"/>
              <w:bottom w:w="60" w:type="dxa"/>
              <w:right w:w="100" w:type="dxa"/>
            </w:tcMar>
            <w:vAlign w:val="center"/>
          </w:tcPr>
          <w:p>
            <w:pPr>
              <w:pStyle w:val="Normal"/>
              <w:widowControl w:val="false"/>
              <w:jc w:val="left"/>
              <w:rPr/>
            </w:pPr>
            <w:r>
              <w:rPr>
                <w:rFonts w:eastAsia="Courier New" w:cs="Courier New" w:ascii="Courier New" w:hAnsi="Courier New"/>
                <w:b w:val="false"/>
                <w:bCs w:val="false"/>
                <w:color w:val="1E3A5F"/>
                <w:sz w:val="18"/>
                <w:szCs w:val="18"/>
              </w:rPr>
              <w:t>GGCGGGAG</w:t>
            </w:r>
          </w:p>
        </w:tc>
        <w:tc>
          <w:tcPr>
            <w:tcW w:w="899" w:type="dxa"/>
            <w:tcBorders>
              <w:top w:val="single" w:sz="4" w:space="0" w:color="CCCCCC"/>
              <w:left w:val="single" w:sz="4" w:space="0" w:color="CCCCCC"/>
              <w:bottom w:val="single" w:sz="4" w:space="0" w:color="CCCCCC"/>
              <w:right w:val="single" w:sz="4" w:space="0" w:color="CCCCCC"/>
            </w:tcBorders>
            <w:shd w:fill="F0F4F8"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9.47</w:t>
            </w:r>
          </w:p>
        </w:tc>
        <w:tc>
          <w:tcPr>
            <w:tcW w:w="1503" w:type="dxa"/>
            <w:tcBorders>
              <w:top w:val="single" w:sz="4" w:space="0" w:color="CCCCCC"/>
              <w:left w:val="single" w:sz="4" w:space="0" w:color="CCCCCC"/>
              <w:bottom w:val="single" w:sz="4" w:space="0" w:color="CCCCCC"/>
              <w:right w:val="single" w:sz="4" w:space="0" w:color="CCCCCC"/>
            </w:tcBorders>
            <w:shd w:fill="F0F4F8"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1.7×10⁻¹³⁰</w:t>
            </w:r>
          </w:p>
        </w:tc>
        <w:tc>
          <w:tcPr>
            <w:tcW w:w="1157" w:type="dxa"/>
            <w:tcBorders>
              <w:top w:val="single" w:sz="4" w:space="0" w:color="CCCCCC"/>
              <w:left w:val="single" w:sz="4" w:space="0" w:color="CCCCCC"/>
              <w:bottom w:val="single" w:sz="4" w:space="0" w:color="CCCCCC"/>
              <w:right w:val="single" w:sz="4" w:space="0" w:color="CCCCCC"/>
            </w:tcBorders>
            <w:shd w:fill="F0F4F8" w:val="clear"/>
            <w:tcMar>
              <w:top w:w="60" w:type="dxa"/>
              <w:left w:w="100" w:type="dxa"/>
              <w:bottom w:w="60" w:type="dxa"/>
              <w:right w:w="100" w:type="dxa"/>
            </w:tcMar>
            <w:vAlign w:val="center"/>
          </w:tcPr>
          <w:p>
            <w:pPr>
              <w:pStyle w:val="Normal"/>
              <w:widowControl w:val="false"/>
              <w:jc w:val="left"/>
              <w:rPr/>
            </w:pPr>
            <w:r>
              <w:rPr>
                <w:rFonts w:eastAsia="Arial" w:cs="Arial"/>
                <w:b/>
                <w:bCs/>
                <w:color w:val="1A6B3A"/>
                <w:sz w:val="20"/>
                <w:szCs w:val="20"/>
              </w:rPr>
              <w:t>+1.00</w:t>
            </w:r>
          </w:p>
        </w:tc>
      </w:tr>
      <w:tr>
        <w:trPr/>
        <w:tc>
          <w:tcPr>
            <w:tcW w:w="2100" w:type="dxa"/>
            <w:tcBorders>
              <w:top w:val="single" w:sz="4" w:space="0" w:color="CCCCCC"/>
              <w:left w:val="single" w:sz="4" w:space="0" w:color="CCCCCC"/>
              <w:bottom w:val="single" w:sz="4" w:space="0" w:color="CCCCCC"/>
              <w:right w:val="single" w:sz="4" w:space="0" w:color="CCCCCC"/>
            </w:tcBorders>
            <w:shd w:fill="FFFFFF"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HOXA10 (HT-SELEX)</w:t>
            </w:r>
          </w:p>
        </w:tc>
        <w:tc>
          <w:tcPr>
            <w:tcW w:w="1399" w:type="dxa"/>
            <w:tcBorders>
              <w:top w:val="single" w:sz="4" w:space="0" w:color="CCCCCC"/>
              <w:left w:val="single" w:sz="4" w:space="0" w:color="CCCCCC"/>
              <w:bottom w:val="single" w:sz="4" w:space="0" w:color="CCCCCC"/>
              <w:right w:val="single" w:sz="4" w:space="0" w:color="CCCCCC"/>
            </w:tcBorders>
            <w:shd w:fill="FFFFFF" w:val="clear"/>
            <w:tcMar>
              <w:top w:w="60" w:type="dxa"/>
              <w:left w:w="100" w:type="dxa"/>
              <w:bottom w:w="60" w:type="dxa"/>
              <w:right w:w="100" w:type="dxa"/>
            </w:tcMar>
            <w:vAlign w:val="center"/>
          </w:tcPr>
          <w:p>
            <w:pPr>
              <w:pStyle w:val="Normal"/>
              <w:widowControl w:val="false"/>
              <w:jc w:val="left"/>
              <w:rPr/>
            </w:pPr>
            <w:r>
              <w:rPr>
                <w:rFonts w:eastAsia="Courier New" w:cs="Courier New" w:ascii="Courier New" w:hAnsi="Courier New"/>
                <w:b w:val="false"/>
                <w:bCs w:val="false"/>
                <w:color w:val="1E3A5F"/>
                <w:sz w:val="18"/>
                <w:szCs w:val="18"/>
              </w:rPr>
              <w:t>GTAATAAA</w:t>
            </w:r>
          </w:p>
        </w:tc>
        <w:tc>
          <w:tcPr>
            <w:tcW w:w="901" w:type="dxa"/>
            <w:tcBorders>
              <w:top w:val="single" w:sz="4" w:space="0" w:color="CCCCCC"/>
              <w:left w:val="single" w:sz="4" w:space="0" w:color="CCCCCC"/>
              <w:bottom w:val="single" w:sz="4" w:space="0" w:color="CCCCCC"/>
              <w:right w:val="single" w:sz="4" w:space="0" w:color="CCCCCC"/>
            </w:tcBorders>
            <w:shd w:fill="FFFFFF"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6.52</w:t>
            </w:r>
          </w:p>
        </w:tc>
        <w:tc>
          <w:tcPr>
            <w:tcW w:w="1400" w:type="dxa"/>
            <w:tcBorders>
              <w:top w:val="single" w:sz="4" w:space="0" w:color="CCCCCC"/>
              <w:left w:val="single" w:sz="4" w:space="0" w:color="CCCCCC"/>
              <w:bottom w:val="single" w:sz="4" w:space="0" w:color="CCCCCC"/>
              <w:right w:val="single" w:sz="4" w:space="0" w:color="CCCCCC"/>
            </w:tcBorders>
            <w:shd w:fill="FFFFFF" w:val="clear"/>
            <w:tcMar>
              <w:top w:w="60" w:type="dxa"/>
              <w:left w:w="100" w:type="dxa"/>
              <w:bottom w:w="60" w:type="dxa"/>
              <w:right w:w="100" w:type="dxa"/>
            </w:tcMar>
            <w:vAlign w:val="center"/>
          </w:tcPr>
          <w:p>
            <w:pPr>
              <w:pStyle w:val="Normal"/>
              <w:widowControl w:val="false"/>
              <w:jc w:val="left"/>
              <w:rPr/>
            </w:pPr>
            <w:r>
              <w:rPr>
                <w:rFonts w:eastAsia="Courier New" w:cs="Courier New" w:ascii="Courier New" w:hAnsi="Courier New"/>
                <w:b w:val="false"/>
                <w:bCs w:val="false"/>
                <w:color w:val="1E3A5F"/>
                <w:sz w:val="18"/>
                <w:szCs w:val="18"/>
              </w:rPr>
              <w:t>GTAATAAA</w:t>
            </w:r>
          </w:p>
        </w:tc>
        <w:tc>
          <w:tcPr>
            <w:tcW w:w="899" w:type="dxa"/>
            <w:tcBorders>
              <w:top w:val="single" w:sz="4" w:space="0" w:color="CCCCCC"/>
              <w:left w:val="single" w:sz="4" w:space="0" w:color="CCCCCC"/>
              <w:bottom w:val="single" w:sz="4" w:space="0" w:color="CCCCCC"/>
              <w:right w:val="single" w:sz="4" w:space="0" w:color="CCCCCC"/>
            </w:tcBorders>
            <w:shd w:fill="FFFFFF"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7.38</w:t>
            </w:r>
          </w:p>
        </w:tc>
        <w:tc>
          <w:tcPr>
            <w:tcW w:w="1503" w:type="dxa"/>
            <w:tcBorders>
              <w:top w:val="single" w:sz="4" w:space="0" w:color="CCCCCC"/>
              <w:left w:val="single" w:sz="4" w:space="0" w:color="CCCCCC"/>
              <w:bottom w:val="single" w:sz="4" w:space="0" w:color="CCCCCC"/>
              <w:right w:val="single" w:sz="4" w:space="0" w:color="CCCCCC"/>
            </w:tcBorders>
            <w:shd w:fill="FFFFFF"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6.7×10⁻¹⁰¹</w:t>
            </w:r>
          </w:p>
        </w:tc>
        <w:tc>
          <w:tcPr>
            <w:tcW w:w="1157" w:type="dxa"/>
            <w:tcBorders>
              <w:top w:val="single" w:sz="4" w:space="0" w:color="CCCCCC"/>
              <w:left w:val="single" w:sz="4" w:space="0" w:color="CCCCCC"/>
              <w:bottom w:val="single" w:sz="4" w:space="0" w:color="CCCCCC"/>
              <w:right w:val="single" w:sz="4" w:space="0" w:color="CCCCCC"/>
            </w:tcBorders>
            <w:shd w:fill="FFFFFF" w:val="clear"/>
            <w:tcMar>
              <w:top w:w="60" w:type="dxa"/>
              <w:left w:w="100" w:type="dxa"/>
              <w:bottom w:w="60" w:type="dxa"/>
              <w:right w:w="100" w:type="dxa"/>
            </w:tcMar>
            <w:vAlign w:val="center"/>
          </w:tcPr>
          <w:p>
            <w:pPr>
              <w:pStyle w:val="Normal"/>
              <w:widowControl w:val="false"/>
              <w:jc w:val="left"/>
              <w:rPr/>
            </w:pPr>
            <w:r>
              <w:rPr>
                <w:rFonts w:eastAsia="Arial" w:cs="Arial"/>
                <w:b/>
                <w:bCs/>
                <w:color w:val="1A6B3A"/>
                <w:sz w:val="20"/>
                <w:szCs w:val="20"/>
              </w:rPr>
              <w:t>+0.86</w:t>
            </w:r>
          </w:p>
        </w:tc>
      </w:tr>
      <w:tr>
        <w:trPr/>
        <w:tc>
          <w:tcPr>
            <w:tcW w:w="2100" w:type="dxa"/>
            <w:tcBorders>
              <w:top w:val="single" w:sz="4" w:space="0" w:color="CCCCCC"/>
              <w:left w:val="single" w:sz="4" w:space="0" w:color="CCCCCC"/>
              <w:bottom w:val="single" w:sz="4" w:space="0" w:color="CCCCCC"/>
              <w:right w:val="single" w:sz="4" w:space="0" w:color="CCCCCC"/>
            </w:tcBorders>
            <w:shd w:fill="F0F4F8"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Plant bZIP (Arabidopsis)</w:t>
            </w:r>
          </w:p>
        </w:tc>
        <w:tc>
          <w:tcPr>
            <w:tcW w:w="1399" w:type="dxa"/>
            <w:tcBorders>
              <w:top w:val="single" w:sz="4" w:space="0" w:color="CCCCCC"/>
              <w:left w:val="single" w:sz="4" w:space="0" w:color="CCCCCC"/>
              <w:bottom w:val="single" w:sz="4" w:space="0" w:color="CCCCCC"/>
              <w:right w:val="single" w:sz="4" w:space="0" w:color="CCCCCC"/>
            </w:tcBorders>
            <w:shd w:fill="F0F4F8" w:val="clear"/>
            <w:tcMar>
              <w:top w:w="60" w:type="dxa"/>
              <w:left w:w="100" w:type="dxa"/>
              <w:bottom w:w="60" w:type="dxa"/>
              <w:right w:w="100" w:type="dxa"/>
            </w:tcMar>
            <w:vAlign w:val="center"/>
          </w:tcPr>
          <w:p>
            <w:pPr>
              <w:pStyle w:val="Normal"/>
              <w:widowControl w:val="false"/>
              <w:jc w:val="left"/>
              <w:rPr/>
            </w:pPr>
            <w:r>
              <w:rPr>
                <w:rFonts w:eastAsia="Courier New" w:cs="Courier New" w:ascii="Courier New" w:hAnsi="Courier New"/>
                <w:b w:val="false"/>
                <w:bCs w:val="false"/>
                <w:color w:val="1E3A5F"/>
                <w:sz w:val="18"/>
                <w:szCs w:val="18"/>
              </w:rPr>
              <w:t>ACACGTGT</w:t>
            </w:r>
          </w:p>
        </w:tc>
        <w:tc>
          <w:tcPr>
            <w:tcW w:w="901" w:type="dxa"/>
            <w:tcBorders>
              <w:top w:val="single" w:sz="4" w:space="0" w:color="CCCCCC"/>
              <w:left w:val="single" w:sz="4" w:space="0" w:color="CCCCCC"/>
              <w:bottom w:val="single" w:sz="4" w:space="0" w:color="CCCCCC"/>
              <w:right w:val="single" w:sz="4" w:space="0" w:color="CCCCCC"/>
            </w:tcBorders>
            <w:shd w:fill="F0F4F8"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8.64</w:t>
            </w:r>
          </w:p>
        </w:tc>
        <w:tc>
          <w:tcPr>
            <w:tcW w:w="1400" w:type="dxa"/>
            <w:tcBorders>
              <w:top w:val="single" w:sz="4" w:space="0" w:color="CCCCCC"/>
              <w:left w:val="single" w:sz="4" w:space="0" w:color="CCCCCC"/>
              <w:bottom w:val="single" w:sz="4" w:space="0" w:color="CCCCCC"/>
              <w:right w:val="single" w:sz="4" w:space="0" w:color="CCCCCC"/>
            </w:tcBorders>
            <w:shd w:fill="F0F4F8" w:val="clear"/>
            <w:tcMar>
              <w:top w:w="60" w:type="dxa"/>
              <w:left w:w="100" w:type="dxa"/>
              <w:bottom w:w="60" w:type="dxa"/>
              <w:right w:w="100" w:type="dxa"/>
            </w:tcMar>
            <w:vAlign w:val="center"/>
          </w:tcPr>
          <w:p>
            <w:pPr>
              <w:pStyle w:val="Normal"/>
              <w:widowControl w:val="false"/>
              <w:jc w:val="left"/>
              <w:rPr/>
            </w:pPr>
            <w:r>
              <w:rPr>
                <w:rFonts w:eastAsia="Courier New" w:cs="Courier New" w:ascii="Courier New" w:hAnsi="Courier New"/>
                <w:b w:val="false"/>
                <w:bCs w:val="false"/>
                <w:color w:val="1E3A5F"/>
                <w:sz w:val="18"/>
                <w:szCs w:val="18"/>
              </w:rPr>
              <w:t>ACACGTGT</w:t>
            </w:r>
          </w:p>
        </w:tc>
        <w:tc>
          <w:tcPr>
            <w:tcW w:w="899" w:type="dxa"/>
            <w:tcBorders>
              <w:top w:val="single" w:sz="4" w:space="0" w:color="CCCCCC"/>
              <w:left w:val="single" w:sz="4" w:space="0" w:color="CCCCCC"/>
              <w:bottom w:val="single" w:sz="4" w:space="0" w:color="CCCCCC"/>
              <w:right w:val="single" w:sz="4" w:space="0" w:color="CCCCCC"/>
            </w:tcBorders>
            <w:shd w:fill="F0F4F8"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8.85</w:t>
            </w:r>
          </w:p>
        </w:tc>
        <w:tc>
          <w:tcPr>
            <w:tcW w:w="1503" w:type="dxa"/>
            <w:tcBorders>
              <w:top w:val="single" w:sz="4" w:space="0" w:color="CCCCCC"/>
              <w:left w:val="single" w:sz="4" w:space="0" w:color="CCCCCC"/>
              <w:bottom w:val="single" w:sz="4" w:space="0" w:color="CCCCCC"/>
              <w:right w:val="single" w:sz="4" w:space="0" w:color="CCCCCC"/>
            </w:tcBorders>
            <w:shd w:fill="F0F4F8"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1.0×10⁻³⁰⁰</w:t>
            </w:r>
          </w:p>
        </w:tc>
        <w:tc>
          <w:tcPr>
            <w:tcW w:w="1157" w:type="dxa"/>
            <w:tcBorders>
              <w:top w:val="single" w:sz="4" w:space="0" w:color="CCCCCC"/>
              <w:left w:val="single" w:sz="4" w:space="0" w:color="CCCCCC"/>
              <w:bottom w:val="single" w:sz="4" w:space="0" w:color="CCCCCC"/>
              <w:right w:val="single" w:sz="4" w:space="0" w:color="CCCCCC"/>
            </w:tcBorders>
            <w:shd w:fill="F0F4F8" w:val="clear"/>
            <w:tcMar>
              <w:top w:w="60" w:type="dxa"/>
              <w:left w:w="100" w:type="dxa"/>
              <w:bottom w:w="60" w:type="dxa"/>
              <w:right w:w="100" w:type="dxa"/>
            </w:tcMar>
            <w:vAlign w:val="center"/>
          </w:tcPr>
          <w:p>
            <w:pPr>
              <w:pStyle w:val="Normal"/>
              <w:widowControl w:val="false"/>
              <w:jc w:val="left"/>
              <w:rPr/>
            </w:pPr>
            <w:r>
              <w:rPr>
                <w:rFonts w:eastAsia="Arial" w:cs="Arial"/>
                <w:b/>
                <w:bCs/>
                <w:color w:val="1A6B3A"/>
                <w:sz w:val="20"/>
                <w:szCs w:val="20"/>
              </w:rPr>
              <w:t>+0.21</w:t>
            </w:r>
          </w:p>
        </w:tc>
      </w:tr>
      <w:tr>
        <w:trPr/>
        <w:tc>
          <w:tcPr>
            <w:tcW w:w="2100" w:type="dxa"/>
            <w:tcBorders>
              <w:top w:val="single" w:sz="4" w:space="0" w:color="CCCCCC"/>
              <w:left w:val="single" w:sz="4" w:space="0" w:color="CCCCCC"/>
              <w:bottom w:val="single" w:sz="4" w:space="0" w:color="CCCCCC"/>
              <w:right w:val="single" w:sz="4" w:space="0" w:color="CCCCCC"/>
            </w:tcBorders>
            <w:shd w:fill="FFFFFF"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Plant B3/MADS</w:t>
            </w:r>
          </w:p>
        </w:tc>
        <w:tc>
          <w:tcPr>
            <w:tcW w:w="1399" w:type="dxa"/>
            <w:tcBorders>
              <w:top w:val="single" w:sz="4" w:space="0" w:color="CCCCCC"/>
              <w:left w:val="single" w:sz="4" w:space="0" w:color="CCCCCC"/>
              <w:bottom w:val="single" w:sz="4" w:space="0" w:color="CCCCCC"/>
              <w:right w:val="single" w:sz="4" w:space="0" w:color="CCCCCC"/>
            </w:tcBorders>
            <w:shd w:fill="FFFFFF" w:val="clear"/>
            <w:tcMar>
              <w:top w:w="60" w:type="dxa"/>
              <w:left w:w="100" w:type="dxa"/>
              <w:bottom w:w="60" w:type="dxa"/>
              <w:right w:w="100" w:type="dxa"/>
            </w:tcMar>
            <w:vAlign w:val="center"/>
          </w:tcPr>
          <w:p>
            <w:pPr>
              <w:pStyle w:val="Normal"/>
              <w:widowControl w:val="false"/>
              <w:jc w:val="left"/>
              <w:rPr/>
            </w:pPr>
            <w:r>
              <w:rPr>
                <w:rFonts w:eastAsia="Courier New" w:cs="Courier New" w:ascii="Courier New" w:hAnsi="Courier New"/>
                <w:b w:val="false"/>
                <w:bCs w:val="false"/>
                <w:color w:val="1E3A5F"/>
                <w:sz w:val="18"/>
                <w:szCs w:val="18"/>
              </w:rPr>
              <w:t>GCATGC</w:t>
            </w:r>
          </w:p>
        </w:tc>
        <w:tc>
          <w:tcPr>
            <w:tcW w:w="901" w:type="dxa"/>
            <w:tcBorders>
              <w:top w:val="single" w:sz="4" w:space="0" w:color="CCCCCC"/>
              <w:left w:val="single" w:sz="4" w:space="0" w:color="CCCCCC"/>
              <w:bottom w:val="single" w:sz="4" w:space="0" w:color="CCCCCC"/>
              <w:right w:val="single" w:sz="4" w:space="0" w:color="CCCCCC"/>
            </w:tcBorders>
            <w:shd w:fill="FFFFFF"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4.69</w:t>
            </w:r>
          </w:p>
        </w:tc>
        <w:tc>
          <w:tcPr>
            <w:tcW w:w="1400" w:type="dxa"/>
            <w:tcBorders>
              <w:top w:val="single" w:sz="4" w:space="0" w:color="CCCCCC"/>
              <w:left w:val="single" w:sz="4" w:space="0" w:color="CCCCCC"/>
              <w:bottom w:val="single" w:sz="4" w:space="0" w:color="CCCCCC"/>
              <w:right w:val="single" w:sz="4" w:space="0" w:color="CCCCCC"/>
            </w:tcBorders>
            <w:shd w:fill="FFFFFF" w:val="clear"/>
            <w:tcMar>
              <w:top w:w="60" w:type="dxa"/>
              <w:left w:w="100" w:type="dxa"/>
              <w:bottom w:w="60" w:type="dxa"/>
              <w:right w:w="100" w:type="dxa"/>
            </w:tcMar>
            <w:vAlign w:val="center"/>
          </w:tcPr>
          <w:p>
            <w:pPr>
              <w:pStyle w:val="Normal"/>
              <w:widowControl w:val="false"/>
              <w:jc w:val="left"/>
              <w:rPr/>
            </w:pPr>
            <w:r>
              <w:rPr>
                <w:rFonts w:eastAsia="Courier New" w:cs="Courier New" w:ascii="Courier New" w:hAnsi="Courier New"/>
                <w:b w:val="false"/>
                <w:bCs w:val="false"/>
                <w:color w:val="1E3A5F"/>
                <w:sz w:val="18"/>
                <w:szCs w:val="18"/>
              </w:rPr>
              <w:t>GCATGC</w:t>
            </w:r>
          </w:p>
        </w:tc>
        <w:tc>
          <w:tcPr>
            <w:tcW w:w="899" w:type="dxa"/>
            <w:tcBorders>
              <w:top w:val="single" w:sz="4" w:space="0" w:color="CCCCCC"/>
              <w:left w:val="single" w:sz="4" w:space="0" w:color="CCCCCC"/>
              <w:bottom w:val="single" w:sz="4" w:space="0" w:color="CCCCCC"/>
              <w:right w:val="single" w:sz="4" w:space="0" w:color="CCCCCC"/>
            </w:tcBorders>
            <w:shd w:fill="FFFFFF"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5.15</w:t>
            </w:r>
          </w:p>
        </w:tc>
        <w:tc>
          <w:tcPr>
            <w:tcW w:w="1503" w:type="dxa"/>
            <w:tcBorders>
              <w:top w:val="single" w:sz="4" w:space="0" w:color="CCCCCC"/>
              <w:left w:val="single" w:sz="4" w:space="0" w:color="CCCCCC"/>
              <w:bottom w:val="single" w:sz="4" w:space="0" w:color="CCCCCC"/>
              <w:right w:val="single" w:sz="4" w:space="0" w:color="CCCCCC"/>
            </w:tcBorders>
            <w:shd w:fill="FFFFFF"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3.8×10⁻¹⁹⁰</w:t>
            </w:r>
          </w:p>
        </w:tc>
        <w:tc>
          <w:tcPr>
            <w:tcW w:w="1157" w:type="dxa"/>
            <w:tcBorders>
              <w:top w:val="single" w:sz="4" w:space="0" w:color="CCCCCC"/>
              <w:left w:val="single" w:sz="4" w:space="0" w:color="CCCCCC"/>
              <w:bottom w:val="single" w:sz="4" w:space="0" w:color="CCCCCC"/>
              <w:right w:val="single" w:sz="4" w:space="0" w:color="CCCCCC"/>
            </w:tcBorders>
            <w:shd w:fill="FFFFFF" w:val="clear"/>
            <w:tcMar>
              <w:top w:w="60" w:type="dxa"/>
              <w:left w:w="100" w:type="dxa"/>
              <w:bottom w:w="60" w:type="dxa"/>
              <w:right w:w="100" w:type="dxa"/>
            </w:tcMar>
            <w:vAlign w:val="center"/>
          </w:tcPr>
          <w:p>
            <w:pPr>
              <w:pStyle w:val="Normal"/>
              <w:widowControl w:val="false"/>
              <w:jc w:val="left"/>
              <w:rPr/>
            </w:pPr>
            <w:r>
              <w:rPr>
                <w:rFonts w:eastAsia="Arial" w:cs="Arial"/>
                <w:b/>
                <w:bCs/>
                <w:color w:val="1A6B3A"/>
                <w:sz w:val="20"/>
                <w:szCs w:val="20"/>
              </w:rPr>
              <w:t>+0.46</w:t>
            </w:r>
          </w:p>
        </w:tc>
      </w:tr>
      <w:tr>
        <w:trPr/>
        <w:tc>
          <w:tcPr>
            <w:tcW w:w="2100" w:type="dxa"/>
            <w:tcBorders>
              <w:top w:val="single" w:sz="4" w:space="0" w:color="CCCCCC"/>
              <w:left w:val="single" w:sz="4" w:space="0" w:color="CCCCCC"/>
              <w:bottom w:val="single" w:sz="4" w:space="0" w:color="CCCCCC"/>
              <w:right w:val="single" w:sz="4" w:space="0" w:color="CCCCCC"/>
            </w:tcBorders>
            <w:shd w:fill="F0F4F8"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Yeast ABF1/ABF2</w:t>
            </w:r>
          </w:p>
        </w:tc>
        <w:tc>
          <w:tcPr>
            <w:tcW w:w="1399" w:type="dxa"/>
            <w:tcBorders>
              <w:top w:val="single" w:sz="4" w:space="0" w:color="CCCCCC"/>
              <w:left w:val="single" w:sz="4" w:space="0" w:color="CCCCCC"/>
              <w:bottom w:val="single" w:sz="4" w:space="0" w:color="CCCCCC"/>
              <w:right w:val="single" w:sz="4" w:space="0" w:color="CCCCCC"/>
            </w:tcBorders>
            <w:shd w:fill="F0F4F8" w:val="clear"/>
            <w:tcMar>
              <w:top w:w="60" w:type="dxa"/>
              <w:left w:w="100" w:type="dxa"/>
              <w:bottom w:w="60" w:type="dxa"/>
              <w:right w:w="100" w:type="dxa"/>
            </w:tcMar>
            <w:vAlign w:val="center"/>
          </w:tcPr>
          <w:p>
            <w:pPr>
              <w:pStyle w:val="Normal"/>
              <w:widowControl w:val="false"/>
              <w:jc w:val="left"/>
              <w:rPr/>
            </w:pPr>
            <w:r>
              <w:rPr>
                <w:rFonts w:eastAsia="Courier New" w:cs="Courier New" w:ascii="Courier New" w:hAnsi="Courier New"/>
                <w:b w:val="false"/>
                <w:bCs w:val="false"/>
                <w:color w:val="1E3A5F"/>
                <w:sz w:val="18"/>
                <w:szCs w:val="18"/>
              </w:rPr>
              <w:t>CTCTAGAA</w:t>
            </w:r>
          </w:p>
        </w:tc>
        <w:tc>
          <w:tcPr>
            <w:tcW w:w="901" w:type="dxa"/>
            <w:tcBorders>
              <w:top w:val="single" w:sz="4" w:space="0" w:color="CCCCCC"/>
              <w:left w:val="single" w:sz="4" w:space="0" w:color="CCCCCC"/>
              <w:bottom w:val="single" w:sz="4" w:space="0" w:color="CCCCCC"/>
              <w:right w:val="single" w:sz="4" w:space="0" w:color="CCCCCC"/>
            </w:tcBorders>
            <w:shd w:fill="F0F4F8"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6.63</w:t>
            </w:r>
          </w:p>
        </w:tc>
        <w:tc>
          <w:tcPr>
            <w:tcW w:w="1400" w:type="dxa"/>
            <w:tcBorders>
              <w:top w:val="single" w:sz="4" w:space="0" w:color="CCCCCC"/>
              <w:left w:val="single" w:sz="4" w:space="0" w:color="CCCCCC"/>
              <w:bottom w:val="single" w:sz="4" w:space="0" w:color="CCCCCC"/>
              <w:right w:val="single" w:sz="4" w:space="0" w:color="CCCCCC"/>
            </w:tcBorders>
            <w:shd w:fill="F0F4F8" w:val="clear"/>
            <w:tcMar>
              <w:top w:w="60" w:type="dxa"/>
              <w:left w:w="100" w:type="dxa"/>
              <w:bottom w:w="60" w:type="dxa"/>
              <w:right w:w="100" w:type="dxa"/>
            </w:tcMar>
            <w:vAlign w:val="center"/>
          </w:tcPr>
          <w:p>
            <w:pPr>
              <w:pStyle w:val="Normal"/>
              <w:widowControl w:val="false"/>
              <w:jc w:val="left"/>
              <w:rPr/>
            </w:pPr>
            <w:r>
              <w:rPr>
                <w:rFonts w:eastAsia="Courier New" w:cs="Courier New" w:ascii="Courier New" w:hAnsi="Courier New"/>
                <w:b w:val="false"/>
                <w:bCs w:val="false"/>
                <w:color w:val="1E3A5F"/>
                <w:sz w:val="18"/>
                <w:szCs w:val="18"/>
              </w:rPr>
              <w:t>CTAGATAT</w:t>
            </w:r>
          </w:p>
        </w:tc>
        <w:tc>
          <w:tcPr>
            <w:tcW w:w="899" w:type="dxa"/>
            <w:tcBorders>
              <w:top w:val="single" w:sz="4" w:space="0" w:color="CCCCCC"/>
              <w:left w:val="single" w:sz="4" w:space="0" w:color="CCCCCC"/>
              <w:bottom w:val="single" w:sz="4" w:space="0" w:color="CCCCCC"/>
              <w:right w:val="single" w:sz="4" w:space="0" w:color="CCCCCC"/>
            </w:tcBorders>
            <w:shd w:fill="F0F4F8"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6.72</w:t>
            </w:r>
          </w:p>
        </w:tc>
        <w:tc>
          <w:tcPr>
            <w:tcW w:w="1503" w:type="dxa"/>
            <w:tcBorders>
              <w:top w:val="single" w:sz="4" w:space="0" w:color="CCCCCC"/>
              <w:left w:val="single" w:sz="4" w:space="0" w:color="CCCCCC"/>
              <w:bottom w:val="single" w:sz="4" w:space="0" w:color="CCCCCC"/>
              <w:right w:val="single" w:sz="4" w:space="0" w:color="CCCCCC"/>
            </w:tcBorders>
            <w:shd w:fill="F0F4F8"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1.2×10⁻¹⁹¹</w:t>
            </w:r>
          </w:p>
        </w:tc>
        <w:tc>
          <w:tcPr>
            <w:tcW w:w="1157" w:type="dxa"/>
            <w:tcBorders>
              <w:top w:val="single" w:sz="4" w:space="0" w:color="CCCCCC"/>
              <w:left w:val="single" w:sz="4" w:space="0" w:color="CCCCCC"/>
              <w:bottom w:val="single" w:sz="4" w:space="0" w:color="CCCCCC"/>
              <w:right w:val="single" w:sz="4" w:space="0" w:color="CCCCCC"/>
            </w:tcBorders>
            <w:shd w:fill="F0F4F8" w:val="clear"/>
            <w:tcMar>
              <w:top w:w="60" w:type="dxa"/>
              <w:left w:w="100" w:type="dxa"/>
              <w:bottom w:w="60" w:type="dxa"/>
              <w:right w:w="100" w:type="dxa"/>
            </w:tcMar>
            <w:vAlign w:val="center"/>
          </w:tcPr>
          <w:p>
            <w:pPr>
              <w:pStyle w:val="Normal"/>
              <w:widowControl w:val="false"/>
              <w:jc w:val="left"/>
              <w:rPr/>
            </w:pPr>
            <w:r>
              <w:rPr>
                <w:rFonts w:eastAsia="Arial" w:cs="Arial"/>
                <w:b/>
                <w:bCs/>
                <w:color w:val="1A6B3A"/>
                <w:sz w:val="20"/>
                <w:szCs w:val="20"/>
              </w:rPr>
              <w:t>+0.09</w:t>
            </w:r>
          </w:p>
        </w:tc>
      </w:tr>
      <w:tr>
        <w:trPr/>
        <w:tc>
          <w:tcPr>
            <w:tcW w:w="2100" w:type="dxa"/>
            <w:tcBorders>
              <w:top w:val="single" w:sz="4" w:space="0" w:color="CCCCCC"/>
              <w:left w:val="single" w:sz="4" w:space="0" w:color="CCCCCC"/>
              <w:bottom w:val="single" w:sz="4" w:space="0" w:color="CCCCCC"/>
              <w:right w:val="single" w:sz="4" w:space="0" w:color="CCCCCC"/>
            </w:tcBorders>
            <w:shd w:fill="FFFFFF"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All JASPAR combined</w:t>
            </w:r>
          </w:p>
        </w:tc>
        <w:tc>
          <w:tcPr>
            <w:tcW w:w="1399" w:type="dxa"/>
            <w:tcBorders>
              <w:top w:val="single" w:sz="4" w:space="0" w:color="CCCCCC"/>
              <w:left w:val="single" w:sz="4" w:space="0" w:color="CCCCCC"/>
              <w:bottom w:val="single" w:sz="4" w:space="0" w:color="CCCCCC"/>
              <w:right w:val="single" w:sz="4" w:space="0" w:color="CCCCCC"/>
            </w:tcBorders>
            <w:shd w:fill="FFFFFF" w:val="clear"/>
            <w:tcMar>
              <w:top w:w="60" w:type="dxa"/>
              <w:left w:w="100" w:type="dxa"/>
              <w:bottom w:w="60" w:type="dxa"/>
              <w:right w:w="100" w:type="dxa"/>
            </w:tcMar>
            <w:vAlign w:val="center"/>
          </w:tcPr>
          <w:p>
            <w:pPr>
              <w:pStyle w:val="Normal"/>
              <w:widowControl w:val="false"/>
              <w:jc w:val="left"/>
              <w:rPr/>
            </w:pPr>
            <w:r>
              <w:rPr>
                <w:rFonts w:eastAsia="Courier New" w:cs="Courier New" w:ascii="Courier New" w:hAnsi="Courier New"/>
                <w:b w:val="false"/>
                <w:bCs w:val="false"/>
                <w:color w:val="1E3A5F"/>
                <w:sz w:val="18"/>
                <w:szCs w:val="18"/>
              </w:rPr>
              <w:t>GACACGTG</w:t>
            </w:r>
          </w:p>
        </w:tc>
        <w:tc>
          <w:tcPr>
            <w:tcW w:w="901" w:type="dxa"/>
            <w:tcBorders>
              <w:top w:val="single" w:sz="4" w:space="0" w:color="CCCCCC"/>
              <w:left w:val="single" w:sz="4" w:space="0" w:color="CCCCCC"/>
              <w:bottom w:val="single" w:sz="4" w:space="0" w:color="CCCCCC"/>
              <w:right w:val="single" w:sz="4" w:space="0" w:color="CCCCCC"/>
            </w:tcBorders>
            <w:shd w:fill="FFFFFF"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5.04</w:t>
            </w:r>
          </w:p>
        </w:tc>
        <w:tc>
          <w:tcPr>
            <w:tcW w:w="1400" w:type="dxa"/>
            <w:tcBorders>
              <w:top w:val="single" w:sz="4" w:space="0" w:color="CCCCCC"/>
              <w:left w:val="single" w:sz="4" w:space="0" w:color="CCCCCC"/>
              <w:bottom w:val="single" w:sz="4" w:space="0" w:color="CCCCCC"/>
              <w:right w:val="single" w:sz="4" w:space="0" w:color="CCCCCC"/>
            </w:tcBorders>
            <w:shd w:fill="FFFFFF" w:val="clear"/>
            <w:tcMar>
              <w:top w:w="60" w:type="dxa"/>
              <w:left w:w="100" w:type="dxa"/>
              <w:bottom w:w="60" w:type="dxa"/>
              <w:right w:w="100" w:type="dxa"/>
            </w:tcMar>
            <w:vAlign w:val="center"/>
          </w:tcPr>
          <w:p>
            <w:pPr>
              <w:pStyle w:val="Normal"/>
              <w:widowControl w:val="false"/>
              <w:jc w:val="left"/>
              <w:rPr/>
            </w:pPr>
            <w:r>
              <w:rPr>
                <w:rFonts w:eastAsia="Courier New" w:cs="Courier New" w:ascii="Courier New" w:hAnsi="Courier New"/>
                <w:b w:val="false"/>
                <w:bCs w:val="false"/>
                <w:color w:val="1E3A5F"/>
                <w:sz w:val="18"/>
                <w:szCs w:val="18"/>
              </w:rPr>
              <w:t>CCACGTGT</w:t>
            </w:r>
          </w:p>
        </w:tc>
        <w:tc>
          <w:tcPr>
            <w:tcW w:w="899" w:type="dxa"/>
            <w:tcBorders>
              <w:top w:val="single" w:sz="4" w:space="0" w:color="CCCCCC"/>
              <w:left w:val="single" w:sz="4" w:space="0" w:color="CCCCCC"/>
              <w:bottom w:val="single" w:sz="4" w:space="0" w:color="CCCCCC"/>
              <w:right w:val="single" w:sz="4" w:space="0" w:color="CCCCCC"/>
            </w:tcBorders>
            <w:shd w:fill="FFFFFF"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5.22</w:t>
            </w:r>
          </w:p>
        </w:tc>
        <w:tc>
          <w:tcPr>
            <w:tcW w:w="1503" w:type="dxa"/>
            <w:tcBorders>
              <w:top w:val="single" w:sz="4" w:space="0" w:color="CCCCCC"/>
              <w:left w:val="single" w:sz="4" w:space="0" w:color="CCCCCC"/>
              <w:bottom w:val="single" w:sz="4" w:space="0" w:color="CCCCCC"/>
              <w:right w:val="single" w:sz="4" w:space="0" w:color="CCCCCC"/>
            </w:tcBorders>
            <w:shd w:fill="FFFFFF"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w:t>
            </w:r>
          </w:p>
        </w:tc>
        <w:tc>
          <w:tcPr>
            <w:tcW w:w="1157" w:type="dxa"/>
            <w:tcBorders>
              <w:top w:val="single" w:sz="4" w:space="0" w:color="CCCCCC"/>
              <w:left w:val="single" w:sz="4" w:space="0" w:color="CCCCCC"/>
              <w:bottom w:val="single" w:sz="4" w:space="0" w:color="CCCCCC"/>
              <w:right w:val="single" w:sz="4" w:space="0" w:color="CCCCCC"/>
            </w:tcBorders>
            <w:shd w:fill="FFFFFF" w:val="clear"/>
            <w:tcMar>
              <w:top w:w="60" w:type="dxa"/>
              <w:left w:w="100" w:type="dxa"/>
              <w:bottom w:w="60" w:type="dxa"/>
              <w:right w:w="100" w:type="dxa"/>
            </w:tcMar>
            <w:vAlign w:val="center"/>
          </w:tcPr>
          <w:p>
            <w:pPr>
              <w:pStyle w:val="Normal"/>
              <w:widowControl w:val="false"/>
              <w:jc w:val="left"/>
              <w:rPr/>
            </w:pPr>
            <w:r>
              <w:rPr>
                <w:rFonts w:eastAsia="Arial" w:cs="Arial"/>
                <w:b/>
                <w:bCs/>
                <w:color w:val="1A6B3A"/>
                <w:sz w:val="20"/>
                <w:szCs w:val="20"/>
              </w:rPr>
              <w:t>+0.18</w:t>
            </w:r>
          </w:p>
        </w:tc>
      </w:tr>
      <w:tr>
        <w:trPr/>
        <w:tc>
          <w:tcPr>
            <w:tcW w:w="2100" w:type="dxa"/>
            <w:tcBorders>
              <w:top w:val="single" w:sz="4" w:space="0" w:color="CCCCCC"/>
              <w:left w:val="single" w:sz="4" w:space="0" w:color="CCCCCC"/>
              <w:bottom w:val="single" w:sz="4" w:space="0" w:color="CCCCCC"/>
              <w:right w:val="single" w:sz="4" w:space="0" w:color="CCCCCC"/>
            </w:tcBorders>
            <w:shd w:fill="F0F4F8"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Synthetic TATA-box</w:t>
            </w:r>
          </w:p>
        </w:tc>
        <w:tc>
          <w:tcPr>
            <w:tcW w:w="1399" w:type="dxa"/>
            <w:tcBorders>
              <w:top w:val="single" w:sz="4" w:space="0" w:color="CCCCCC"/>
              <w:left w:val="single" w:sz="4" w:space="0" w:color="CCCCCC"/>
              <w:bottom w:val="single" w:sz="4" w:space="0" w:color="CCCCCC"/>
              <w:right w:val="single" w:sz="4" w:space="0" w:color="CCCCCC"/>
            </w:tcBorders>
            <w:shd w:fill="F0F4F8" w:val="clear"/>
            <w:tcMar>
              <w:top w:w="60" w:type="dxa"/>
              <w:left w:w="100" w:type="dxa"/>
              <w:bottom w:w="60" w:type="dxa"/>
              <w:right w:w="100" w:type="dxa"/>
            </w:tcMar>
            <w:vAlign w:val="center"/>
          </w:tcPr>
          <w:p>
            <w:pPr>
              <w:pStyle w:val="Normal"/>
              <w:widowControl w:val="false"/>
              <w:jc w:val="left"/>
              <w:rPr/>
            </w:pPr>
            <w:r>
              <w:rPr>
                <w:rFonts w:eastAsia="Courier New" w:cs="Courier New" w:ascii="Courier New" w:hAnsi="Courier New"/>
                <w:b w:val="false"/>
                <w:bCs w:val="false"/>
                <w:color w:val="1E3A5F"/>
                <w:sz w:val="18"/>
                <w:szCs w:val="18"/>
              </w:rPr>
              <w:t>GGGCATCC</w:t>
            </w:r>
          </w:p>
        </w:tc>
        <w:tc>
          <w:tcPr>
            <w:tcW w:w="901" w:type="dxa"/>
            <w:tcBorders>
              <w:top w:val="single" w:sz="4" w:space="0" w:color="CCCCCC"/>
              <w:left w:val="single" w:sz="4" w:space="0" w:color="CCCCCC"/>
              <w:bottom w:val="single" w:sz="4" w:space="0" w:color="CCCCCC"/>
              <w:right w:val="single" w:sz="4" w:space="0" w:color="CCCCCC"/>
            </w:tcBorders>
            <w:shd w:fill="F0F4F8"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6.96</w:t>
            </w:r>
          </w:p>
        </w:tc>
        <w:tc>
          <w:tcPr>
            <w:tcW w:w="1400" w:type="dxa"/>
            <w:tcBorders>
              <w:top w:val="single" w:sz="4" w:space="0" w:color="CCCCCC"/>
              <w:left w:val="single" w:sz="4" w:space="0" w:color="CCCCCC"/>
              <w:bottom w:val="single" w:sz="4" w:space="0" w:color="CCCCCC"/>
              <w:right w:val="single" w:sz="4" w:space="0" w:color="CCCCCC"/>
            </w:tcBorders>
            <w:shd w:fill="F0F4F8" w:val="clear"/>
            <w:tcMar>
              <w:top w:w="60" w:type="dxa"/>
              <w:left w:w="100" w:type="dxa"/>
              <w:bottom w:w="60" w:type="dxa"/>
              <w:right w:w="100" w:type="dxa"/>
            </w:tcMar>
            <w:vAlign w:val="center"/>
          </w:tcPr>
          <w:p>
            <w:pPr>
              <w:pStyle w:val="Normal"/>
              <w:widowControl w:val="false"/>
              <w:jc w:val="left"/>
              <w:rPr/>
            </w:pPr>
            <w:r>
              <w:rPr>
                <w:rFonts w:eastAsia="Courier New" w:cs="Courier New" w:ascii="Courier New" w:hAnsi="Courier New"/>
                <w:b w:val="false"/>
                <w:bCs w:val="false"/>
                <w:color w:val="1E3A5F"/>
                <w:sz w:val="18"/>
                <w:szCs w:val="18"/>
              </w:rPr>
              <w:t>TTATATAA</w:t>
            </w:r>
          </w:p>
        </w:tc>
        <w:tc>
          <w:tcPr>
            <w:tcW w:w="899" w:type="dxa"/>
            <w:tcBorders>
              <w:top w:val="single" w:sz="4" w:space="0" w:color="CCCCCC"/>
              <w:left w:val="single" w:sz="4" w:space="0" w:color="CCCCCC"/>
              <w:bottom w:val="single" w:sz="4" w:space="0" w:color="CCCCCC"/>
              <w:right w:val="single" w:sz="4" w:space="0" w:color="CCCCCC"/>
            </w:tcBorders>
            <w:shd w:fill="F0F4F8"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10.66</w:t>
            </w:r>
          </w:p>
        </w:tc>
        <w:tc>
          <w:tcPr>
            <w:tcW w:w="1503" w:type="dxa"/>
            <w:tcBorders>
              <w:top w:val="single" w:sz="4" w:space="0" w:color="CCCCCC"/>
              <w:left w:val="single" w:sz="4" w:space="0" w:color="CCCCCC"/>
              <w:bottom w:val="single" w:sz="4" w:space="0" w:color="CCCCCC"/>
              <w:right w:val="single" w:sz="4" w:space="0" w:color="CCCCCC"/>
            </w:tcBorders>
            <w:shd w:fill="F0F4F8"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w:t>
            </w:r>
          </w:p>
        </w:tc>
        <w:tc>
          <w:tcPr>
            <w:tcW w:w="1157" w:type="dxa"/>
            <w:tcBorders>
              <w:top w:val="single" w:sz="4" w:space="0" w:color="CCCCCC"/>
              <w:left w:val="single" w:sz="4" w:space="0" w:color="CCCCCC"/>
              <w:bottom w:val="single" w:sz="4" w:space="0" w:color="CCCCCC"/>
              <w:right w:val="single" w:sz="4" w:space="0" w:color="CCCCCC"/>
            </w:tcBorders>
            <w:shd w:fill="F0F4F8" w:val="clear"/>
            <w:tcMar>
              <w:top w:w="60" w:type="dxa"/>
              <w:left w:w="100" w:type="dxa"/>
              <w:bottom w:w="60" w:type="dxa"/>
              <w:right w:w="100" w:type="dxa"/>
            </w:tcMar>
            <w:vAlign w:val="center"/>
          </w:tcPr>
          <w:p>
            <w:pPr>
              <w:pStyle w:val="Normal"/>
              <w:widowControl w:val="false"/>
              <w:jc w:val="left"/>
              <w:rPr/>
            </w:pPr>
            <w:r>
              <w:rPr>
                <w:rFonts w:eastAsia="Arial" w:cs="Arial"/>
                <w:b/>
                <w:bCs/>
                <w:color w:val="1A6B3A"/>
                <w:sz w:val="20"/>
                <w:szCs w:val="20"/>
              </w:rPr>
              <w:t>+3.70</w:t>
            </w:r>
          </w:p>
        </w:tc>
      </w:tr>
      <w:tr>
        <w:trPr/>
        <w:tc>
          <w:tcPr>
            <w:tcW w:w="2100" w:type="dxa"/>
            <w:tcBorders>
              <w:top w:val="single" w:sz="4" w:space="0" w:color="CCCCCC"/>
              <w:left w:val="single" w:sz="4" w:space="0" w:color="CCCCCC"/>
              <w:bottom w:val="single" w:sz="4" w:space="0" w:color="CCCCCC"/>
              <w:right w:val="single" w:sz="4" w:space="0" w:color="CCCCCC"/>
            </w:tcBorders>
            <w:shd w:fill="FFFFFF"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Synthetic E-box</w:t>
            </w:r>
          </w:p>
        </w:tc>
        <w:tc>
          <w:tcPr>
            <w:tcW w:w="1399" w:type="dxa"/>
            <w:tcBorders>
              <w:top w:val="single" w:sz="4" w:space="0" w:color="CCCCCC"/>
              <w:left w:val="single" w:sz="4" w:space="0" w:color="CCCCCC"/>
              <w:bottom w:val="single" w:sz="4" w:space="0" w:color="CCCCCC"/>
              <w:right w:val="single" w:sz="4" w:space="0" w:color="CCCCCC"/>
            </w:tcBorders>
            <w:shd w:fill="FFFFFF" w:val="clear"/>
            <w:tcMar>
              <w:top w:w="60" w:type="dxa"/>
              <w:left w:w="100" w:type="dxa"/>
              <w:bottom w:w="60" w:type="dxa"/>
              <w:right w:w="100" w:type="dxa"/>
            </w:tcMar>
            <w:vAlign w:val="center"/>
          </w:tcPr>
          <w:p>
            <w:pPr>
              <w:pStyle w:val="Normal"/>
              <w:widowControl w:val="false"/>
              <w:jc w:val="left"/>
              <w:rPr/>
            </w:pPr>
            <w:r>
              <w:rPr>
                <w:rFonts w:eastAsia="Courier New" w:cs="Courier New" w:ascii="Courier New" w:hAnsi="Courier New"/>
                <w:b w:val="false"/>
                <w:bCs w:val="false"/>
                <w:color w:val="1E3A5F"/>
                <w:sz w:val="18"/>
                <w:szCs w:val="18"/>
              </w:rPr>
              <w:t>ACGTGT</w:t>
            </w:r>
          </w:p>
        </w:tc>
        <w:tc>
          <w:tcPr>
            <w:tcW w:w="901" w:type="dxa"/>
            <w:tcBorders>
              <w:top w:val="single" w:sz="4" w:space="0" w:color="CCCCCC"/>
              <w:left w:val="single" w:sz="4" w:space="0" w:color="CCCCCC"/>
              <w:bottom w:val="single" w:sz="4" w:space="0" w:color="CCCCCC"/>
              <w:right w:val="single" w:sz="4" w:space="0" w:color="CCCCCC"/>
            </w:tcBorders>
            <w:shd w:fill="FFFFFF"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6.90</w:t>
            </w:r>
          </w:p>
        </w:tc>
        <w:tc>
          <w:tcPr>
            <w:tcW w:w="1400" w:type="dxa"/>
            <w:tcBorders>
              <w:top w:val="single" w:sz="4" w:space="0" w:color="CCCCCC"/>
              <w:left w:val="single" w:sz="4" w:space="0" w:color="CCCCCC"/>
              <w:bottom w:val="single" w:sz="4" w:space="0" w:color="CCCCCC"/>
              <w:right w:val="single" w:sz="4" w:space="0" w:color="CCCCCC"/>
            </w:tcBorders>
            <w:shd w:fill="FFFFFF" w:val="clear"/>
            <w:tcMar>
              <w:top w:w="60" w:type="dxa"/>
              <w:left w:w="100" w:type="dxa"/>
              <w:bottom w:w="60" w:type="dxa"/>
              <w:right w:w="100" w:type="dxa"/>
            </w:tcMar>
            <w:vAlign w:val="center"/>
          </w:tcPr>
          <w:p>
            <w:pPr>
              <w:pStyle w:val="Normal"/>
              <w:widowControl w:val="false"/>
              <w:jc w:val="left"/>
              <w:rPr/>
            </w:pPr>
            <w:r>
              <w:rPr>
                <w:rFonts w:eastAsia="Courier New" w:cs="Courier New" w:ascii="Courier New" w:hAnsi="Courier New"/>
                <w:b w:val="false"/>
                <w:bCs w:val="false"/>
                <w:color w:val="1E3A5F"/>
                <w:sz w:val="18"/>
                <w:szCs w:val="18"/>
              </w:rPr>
              <w:t>GCACGT</w:t>
            </w:r>
          </w:p>
        </w:tc>
        <w:tc>
          <w:tcPr>
            <w:tcW w:w="899" w:type="dxa"/>
            <w:tcBorders>
              <w:top w:val="single" w:sz="4" w:space="0" w:color="CCCCCC"/>
              <w:left w:val="single" w:sz="4" w:space="0" w:color="CCCCCC"/>
              <w:bottom w:val="single" w:sz="4" w:space="0" w:color="CCCCCC"/>
              <w:right w:val="single" w:sz="4" w:space="0" w:color="CCCCCC"/>
            </w:tcBorders>
            <w:shd w:fill="FFFFFF"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8.73</w:t>
            </w:r>
          </w:p>
        </w:tc>
        <w:tc>
          <w:tcPr>
            <w:tcW w:w="1503" w:type="dxa"/>
            <w:tcBorders>
              <w:top w:val="single" w:sz="4" w:space="0" w:color="CCCCCC"/>
              <w:left w:val="single" w:sz="4" w:space="0" w:color="CCCCCC"/>
              <w:bottom w:val="single" w:sz="4" w:space="0" w:color="CCCCCC"/>
              <w:right w:val="single" w:sz="4" w:space="0" w:color="CCCCCC"/>
            </w:tcBorders>
            <w:shd w:fill="FFFFFF"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w:t>
            </w:r>
          </w:p>
        </w:tc>
        <w:tc>
          <w:tcPr>
            <w:tcW w:w="1157" w:type="dxa"/>
            <w:tcBorders>
              <w:top w:val="single" w:sz="4" w:space="0" w:color="CCCCCC"/>
              <w:left w:val="single" w:sz="4" w:space="0" w:color="CCCCCC"/>
              <w:bottom w:val="single" w:sz="4" w:space="0" w:color="CCCCCC"/>
              <w:right w:val="single" w:sz="4" w:space="0" w:color="CCCCCC"/>
            </w:tcBorders>
            <w:shd w:fill="FFFFFF" w:val="clear"/>
            <w:tcMar>
              <w:top w:w="60" w:type="dxa"/>
              <w:left w:w="100" w:type="dxa"/>
              <w:bottom w:w="60" w:type="dxa"/>
              <w:right w:w="100" w:type="dxa"/>
            </w:tcMar>
            <w:vAlign w:val="center"/>
          </w:tcPr>
          <w:p>
            <w:pPr>
              <w:pStyle w:val="Normal"/>
              <w:widowControl w:val="false"/>
              <w:jc w:val="left"/>
              <w:rPr/>
            </w:pPr>
            <w:r>
              <w:rPr>
                <w:rFonts w:eastAsia="Arial" w:cs="Arial"/>
                <w:b/>
                <w:bCs/>
                <w:color w:val="1A6B3A"/>
                <w:sz w:val="20"/>
                <w:szCs w:val="20"/>
              </w:rPr>
              <w:t>+1.83</w:t>
            </w:r>
          </w:p>
        </w:tc>
      </w:tr>
    </w:tbl>
    <w:p>
      <w:pPr>
        <w:pStyle w:val="Normal"/>
        <w:spacing w:before="0" w:after="80"/>
        <w:rPr/>
      </w:pPr>
      <w:r>
        <w:rPr/>
      </w:r>
    </w:p>
    <w:p>
      <w:pPr>
        <w:pStyle w:val="Normal"/>
        <w:spacing w:before="0" w:after="200"/>
        <w:jc w:val="center"/>
        <w:rPr/>
      </w:pPr>
      <w:r>
        <w:rPr>
          <w:rFonts w:eastAsia="Arial" w:cs="Arial"/>
          <w:color w:val="555555"/>
          <w:sz w:val="20"/>
          <w:szCs w:val="20"/>
        </w:rPr>
        <w:t>Table 5.1: Algorithm results across all datasets. Gibbs Δ = Gibbs IC − MEME IC.</w:t>
      </w:r>
    </w:p>
    <w:p>
      <w:pPr>
        <w:pStyle w:val="Heading2"/>
        <w:spacing w:before="280" w:after="120"/>
        <w:rPr/>
      </w:pPr>
      <w:r>
        <w:rPr>
          <w:b/>
          <w:bCs/>
        </w:rPr>
        <w:t>5.2  Plant bZIP G-box: Strongest Result</w:t>
      </w:r>
    </w:p>
    <w:p>
      <w:pPr>
        <w:pStyle w:val="Normal"/>
        <w:spacing w:before="0" w:after="120"/>
        <w:jc w:val="both"/>
        <w:rPr/>
      </w:pPr>
      <w:r>
        <w:rPr>
          <w:rFonts w:eastAsia="Arial" w:cs="Arial"/>
          <w:color w:val="1A1A1A"/>
          <w:sz w:val="24"/>
          <w:szCs w:val="24"/>
        </w:rPr>
        <w:t>The plant bZIP dataset (180 sequences from 9 matrices spanning SELEX, PBM, ChIP-seq, and DAP-seq experiments) produced the most significant result. Both MEME and Gibbs independently discovered the consensus ACACGTGT with an E-value of 1×10⁻³⁰⁰ — effectively zero by chance. This corresponds to the canonical G-box / ACGT-core element, the primary binding site for bZIP transcription factors in plants.</w:t>
      </w:r>
    </w:p>
    <w:p>
      <w:pPr>
        <w:pStyle w:val="Normal"/>
        <w:spacing w:before="0" w:after="120"/>
        <w:jc w:val="both"/>
        <w:rPr/>
      </w:pPr>
      <w:r>
        <w:rPr>
          <w:rFonts w:eastAsia="Arial" w:cs="Arial"/>
          <w:color w:val="1A1A1A"/>
          <w:sz w:val="24"/>
          <w:szCs w:val="24"/>
        </w:rPr>
        <w:t>The G-box (CACGTG and its complement CACGTG) is one of the most studied cis-regulatory elements in plant biology, first characterised as the binding site for CRY2 and HY5 in the light-signalling pathway (Ang et al., 1998) and subsequently shown to mediate ABA response (Uno et al., 2000) and drought tolerance via ABF1-4 and ABI5 (Finkelstein &amp; Lynch, 2000). The fact that our computational approach independently recovers this experimentally validated motif from real JASPAR data constitutes strong validation of both the algorithms and the data pipeline.</w:t>
      </w:r>
    </w:p>
    <w:p>
      <w:pPr>
        <w:pStyle w:val="Normal"/>
        <w:spacing w:before="0" w:after="120"/>
        <w:jc w:val="both"/>
        <w:rPr/>
      </w:pPr>
      <w:r>
        <w:rPr>
          <w:rFonts w:eastAsia="Arial" w:cs="Arial"/>
          <w:color w:val="1A1A1A"/>
          <w:sz w:val="24"/>
          <w:szCs w:val="24"/>
        </w:rPr>
        <w:t>Gibbs Sampling achieved IC = 8.85 bits vs. MEME's 8.64 bits, a difference that reflects Gibbs's superior ability to exploit positional specificity, particularly at the highly conserved ACGT core.</w:t>
      </w:r>
    </w:p>
    <w:p>
      <w:pPr>
        <w:pStyle w:val="Heading2"/>
        <w:spacing w:before="280" w:after="120"/>
        <w:rPr/>
      </w:pPr>
      <w:r>
        <w:rPr>
          <w:b/>
          <w:bCs/>
        </w:rPr>
        <w:t>5.3  Human Transcription Factors</w:t>
      </w:r>
    </w:p>
    <w:p>
      <w:pPr>
        <w:pStyle w:val="Heading3"/>
        <w:spacing w:before="200" w:after="80"/>
        <w:rPr/>
      </w:pPr>
      <w:r>
        <w:rPr>
          <w:b/>
          <w:bCs/>
        </w:rPr>
        <w:t>5.3.1  CTCF</w:t>
      </w:r>
    </w:p>
    <w:p>
      <w:pPr>
        <w:pStyle w:val="Normal"/>
        <w:spacing w:before="0" w:after="120"/>
        <w:jc w:val="both"/>
        <w:rPr/>
      </w:pPr>
      <w:r>
        <w:rPr>
          <w:rFonts w:eastAsia="Arial" w:cs="Arial"/>
          <w:color w:val="1A1A1A"/>
          <w:sz w:val="24"/>
          <w:szCs w:val="24"/>
        </w:rPr>
        <w:t>CTCF (CCCTC-binding factor, MA0139.2) is the most extensively studied insulator protein in vertebrates, with approximately 19 million binding sites in the human genome and a central role in 3D chromatin organisation. The real ChIP-seq data yielded the consensus CACCAGGGGG (Gibbs) / CAGGGGGCAC (MEME). Both agree on the GC-rich core, consistent with the published CTCF motif (Rhee &amp; Pugh, 2011). Gibbs achieved markedly higher IC (11.29 vs. 9.00 bits), reflecting its better resolution of the high-specificity positions.</w:t>
      </w:r>
    </w:p>
    <w:p>
      <w:pPr>
        <w:pStyle w:val="Heading3"/>
        <w:spacing w:before="200" w:after="80"/>
        <w:rPr/>
      </w:pPr>
      <w:r>
        <w:rPr>
          <w:b/>
          <w:bCs/>
        </w:rPr>
        <w:t>5.3.2  E2F1</w:t>
      </w:r>
    </w:p>
    <w:p>
      <w:pPr>
        <w:pStyle w:val="Normal"/>
        <w:spacing w:before="0" w:after="120"/>
        <w:jc w:val="both"/>
        <w:rPr/>
      </w:pPr>
      <w:r>
        <w:rPr>
          <w:rFonts w:eastAsia="Arial" w:cs="Arial"/>
          <w:color w:val="1A1A1A"/>
          <w:sz w:val="24"/>
          <w:szCs w:val="24"/>
        </w:rPr>
        <w:t>E2F1 is a cell-cycle transcription factor that activates genes required for S-phase entry, including those encoding DNA replication machinery. Both MEME and Gibbs returned identical consensus sequences TTGGCGCC (HT-SELEX) and GGCGGGAG (ChIP-seq). The slight difference between the two experimental conditions reflects the greater sequence context around the binding site in ChIP-seq data (genomic sequence) vs. the optimised randomised library used in HT-SELEX. Both are consistent with the canonical GCGCGCGC E2F binding motif.</w:t>
      </w:r>
    </w:p>
    <w:p>
      <w:pPr>
        <w:pStyle w:val="Heading3"/>
        <w:spacing w:before="200" w:after="80"/>
        <w:rPr/>
      </w:pPr>
      <w:r>
        <w:rPr>
          <w:b/>
          <w:bCs/>
        </w:rPr>
        <w:t>5.3.3  HOXA10</w:t>
      </w:r>
    </w:p>
    <w:p>
      <w:pPr>
        <w:pStyle w:val="Normal"/>
        <w:spacing w:before="0" w:after="120"/>
        <w:jc w:val="both"/>
        <w:rPr/>
      </w:pPr>
      <w:r>
        <w:rPr>
          <w:rFonts w:eastAsia="Arial" w:cs="Arial"/>
          <w:color w:val="1A1A1A"/>
          <w:sz w:val="24"/>
          <w:szCs w:val="24"/>
        </w:rPr>
        <w:t>HOXA10 is a homeodomain transcription factor critical for specifying segment identity in vertebrate limb development. Both algorithms discovered GTAATAAA, perfectly matching the expected TAAT homeodomain core (Gehring et al., 1994). IC = 7.38 bits (Gibbs), consistent with the moderate conservation expected of a broad homeodomain family motif.</w:t>
      </w:r>
    </w:p>
    <w:p>
      <w:pPr>
        <w:pStyle w:val="Heading2"/>
        <w:spacing w:before="280" w:after="120"/>
        <w:rPr/>
      </w:pPr>
      <w:r>
        <w:rPr>
          <w:b/>
          <w:bCs/>
        </w:rPr>
        <w:t>5.4  Yeast Transcription Factors</w:t>
      </w:r>
    </w:p>
    <w:p>
      <w:pPr>
        <w:pStyle w:val="Normal"/>
        <w:spacing w:before="0" w:after="120"/>
        <w:jc w:val="both"/>
        <w:rPr/>
      </w:pPr>
      <w:r>
        <w:rPr>
          <w:rFonts w:eastAsia="Arial" w:cs="Arial"/>
          <w:color w:val="1A1A1A"/>
          <w:sz w:val="24"/>
          <w:szCs w:val="24"/>
        </w:rPr>
        <w:t>The S. cerevisiae ABF1 (MA0265.1, PBM/DIP-chip) and ABF2 (MA0266.1/2, PBM) dataset yielded CTCTAGAA (MEME) and CTAGATAT (Gibbs), both consistent with the RTCGATCGA core of ABF1 binding — a multifunctional yeast TF involved in DNA replication, transcription silencing, and chromatin organisation (Buchman et al., 1988). The moderate IC (6.6–6.7 bits) reflects the broad specificity of ABF1 across its diverse regulatory roles.</w:t>
      </w:r>
    </w:p>
    <w:p>
      <w:pPr>
        <w:pStyle w:val="Heading2"/>
        <w:spacing w:before="280" w:after="120"/>
        <w:rPr/>
      </w:pPr>
      <w:r>
        <w:rPr>
          <w:b/>
          <w:bCs/>
        </w:rPr>
        <w:t>5.5  Synthetic Benchmark Evaluation</w:t>
      </w:r>
    </w:p>
    <w:p>
      <w:pPr>
        <w:pStyle w:val="Normal"/>
        <w:spacing w:before="0" w:after="120"/>
        <w:jc w:val="both"/>
        <w:rPr/>
      </w:pPr>
      <w:r>
        <w:rPr>
          <w:rFonts w:eastAsia="Arial" w:cs="Arial"/>
          <w:color w:val="1A1A1A"/>
          <w:sz w:val="24"/>
          <w:szCs w:val="24"/>
        </w:rPr>
        <w:t>Synthetic benchmarks with planted ground-truth motifs allowed objective metric computation. MEME recovered the TATA-box with site accuracy 0.90 and F1 = 0.78; Gibbs matched this accuracy while achieving dramatically higher IC (10.66 vs. 6.96 bits). For the E-box, Gibbs outperformed MEME on all metrics. The quantitative comparison is shown in Table 5.2.</w:t>
      </w:r>
    </w:p>
    <w:p>
      <w:pPr>
        <w:pStyle w:val="Normal"/>
        <w:spacing w:before="0" w:after="80"/>
        <w:rPr/>
      </w:pPr>
      <w:r>
        <w:rPr/>
      </w:r>
    </w:p>
    <w:tbl>
      <w:tblPr>
        <w:tblW w:w="9360" w:type="dxa"/>
        <w:jc w:val="left"/>
        <w:tblInd w:w="0" w:type="dxa"/>
        <w:tblLayout w:type="fixed"/>
        <w:tblCellMar>
          <w:top w:w="80" w:type="dxa"/>
          <w:left w:w="120" w:type="dxa"/>
          <w:bottom w:w="80" w:type="dxa"/>
          <w:right w:w="120" w:type="dxa"/>
        </w:tblCellMar>
      </w:tblPr>
      <w:tblGrid>
        <w:gridCol w:w="1781"/>
        <w:gridCol w:w="1385"/>
        <w:gridCol w:w="890"/>
        <w:gridCol w:w="890"/>
        <w:gridCol w:w="891"/>
        <w:gridCol w:w="890"/>
        <w:gridCol w:w="892"/>
        <w:gridCol w:w="1740"/>
      </w:tblGrid>
      <w:tr>
        <w:trPr>
          <w:tblHeader w:val="true"/>
        </w:trPr>
        <w:tc>
          <w:tcPr>
            <w:tcW w:w="1781" w:type="dxa"/>
            <w:tcBorders>
              <w:top w:val="single" w:sz="4" w:space="0" w:color="1E3A5F"/>
              <w:left w:val="single" w:sz="4" w:space="0" w:color="1E3A5F"/>
              <w:bottom w:val="single" w:sz="4" w:space="0" w:color="1E3A5F"/>
              <w:right w:val="single" w:sz="4" w:space="0" w:color="1E3A5F"/>
            </w:tcBorders>
            <w:shd w:fill="1E3A5F" w:val="clear"/>
            <w:vAlign w:val="center"/>
          </w:tcPr>
          <w:p>
            <w:pPr>
              <w:pStyle w:val="Normal"/>
              <w:widowControl w:val="false"/>
              <w:jc w:val="center"/>
              <w:rPr/>
            </w:pPr>
            <w:r>
              <w:rPr>
                <w:rFonts w:eastAsia="Arial" w:cs="Arial"/>
                <w:b/>
                <w:bCs/>
                <w:color w:val="FFFFFF"/>
                <w:sz w:val="20"/>
                <w:szCs w:val="20"/>
              </w:rPr>
              <w:t>Dataset</w:t>
            </w:r>
          </w:p>
        </w:tc>
        <w:tc>
          <w:tcPr>
            <w:tcW w:w="1385" w:type="dxa"/>
            <w:tcBorders>
              <w:top w:val="single" w:sz="4" w:space="0" w:color="1E3A5F"/>
              <w:left w:val="single" w:sz="4" w:space="0" w:color="1E3A5F"/>
              <w:bottom w:val="single" w:sz="4" w:space="0" w:color="1E3A5F"/>
              <w:right w:val="single" w:sz="4" w:space="0" w:color="1E3A5F"/>
            </w:tcBorders>
            <w:shd w:fill="1E3A5F" w:val="clear"/>
            <w:vAlign w:val="center"/>
          </w:tcPr>
          <w:p>
            <w:pPr>
              <w:pStyle w:val="Normal"/>
              <w:widowControl w:val="false"/>
              <w:jc w:val="center"/>
              <w:rPr/>
            </w:pPr>
            <w:r>
              <w:rPr>
                <w:rFonts w:eastAsia="Arial" w:cs="Arial"/>
                <w:b/>
                <w:bCs/>
                <w:color w:val="FFFFFF"/>
                <w:sz w:val="20"/>
                <w:szCs w:val="20"/>
              </w:rPr>
              <w:t>Algorithm</w:t>
            </w:r>
          </w:p>
        </w:tc>
        <w:tc>
          <w:tcPr>
            <w:tcW w:w="890" w:type="dxa"/>
            <w:tcBorders>
              <w:top w:val="single" w:sz="4" w:space="0" w:color="1E3A5F"/>
              <w:left w:val="single" w:sz="4" w:space="0" w:color="1E3A5F"/>
              <w:bottom w:val="single" w:sz="4" w:space="0" w:color="1E3A5F"/>
              <w:right w:val="single" w:sz="4" w:space="0" w:color="1E3A5F"/>
            </w:tcBorders>
            <w:shd w:fill="1E3A5F" w:val="clear"/>
            <w:vAlign w:val="center"/>
          </w:tcPr>
          <w:p>
            <w:pPr>
              <w:pStyle w:val="Normal"/>
              <w:widowControl w:val="false"/>
              <w:jc w:val="center"/>
              <w:rPr/>
            </w:pPr>
            <w:r>
              <w:rPr>
                <w:rFonts w:eastAsia="Arial" w:cs="Arial"/>
                <w:b/>
                <w:bCs/>
                <w:color w:val="FFFFFF"/>
                <w:sz w:val="20"/>
                <w:szCs w:val="20"/>
              </w:rPr>
              <w:t>Sn</w:t>
            </w:r>
          </w:p>
        </w:tc>
        <w:tc>
          <w:tcPr>
            <w:tcW w:w="890" w:type="dxa"/>
            <w:tcBorders>
              <w:top w:val="single" w:sz="4" w:space="0" w:color="1E3A5F"/>
              <w:left w:val="single" w:sz="4" w:space="0" w:color="1E3A5F"/>
              <w:bottom w:val="single" w:sz="4" w:space="0" w:color="1E3A5F"/>
              <w:right w:val="single" w:sz="4" w:space="0" w:color="1E3A5F"/>
            </w:tcBorders>
            <w:shd w:fill="1E3A5F" w:val="clear"/>
            <w:vAlign w:val="center"/>
          </w:tcPr>
          <w:p>
            <w:pPr>
              <w:pStyle w:val="Normal"/>
              <w:widowControl w:val="false"/>
              <w:jc w:val="center"/>
              <w:rPr/>
            </w:pPr>
            <w:r>
              <w:rPr>
                <w:rFonts w:eastAsia="Arial" w:cs="Arial"/>
                <w:b/>
                <w:bCs/>
                <w:color w:val="FFFFFF"/>
                <w:sz w:val="20"/>
                <w:szCs w:val="20"/>
              </w:rPr>
              <w:t>PPV</w:t>
            </w:r>
          </w:p>
        </w:tc>
        <w:tc>
          <w:tcPr>
            <w:tcW w:w="891" w:type="dxa"/>
            <w:tcBorders>
              <w:top w:val="single" w:sz="4" w:space="0" w:color="1E3A5F"/>
              <w:left w:val="single" w:sz="4" w:space="0" w:color="1E3A5F"/>
              <w:bottom w:val="single" w:sz="4" w:space="0" w:color="1E3A5F"/>
              <w:right w:val="single" w:sz="4" w:space="0" w:color="1E3A5F"/>
            </w:tcBorders>
            <w:shd w:fill="1E3A5F" w:val="clear"/>
            <w:vAlign w:val="center"/>
          </w:tcPr>
          <w:p>
            <w:pPr>
              <w:pStyle w:val="Normal"/>
              <w:widowControl w:val="false"/>
              <w:jc w:val="center"/>
              <w:rPr/>
            </w:pPr>
            <w:r>
              <w:rPr>
                <w:rFonts w:eastAsia="Arial" w:cs="Arial"/>
                <w:b/>
                <w:bCs/>
                <w:color w:val="FFFFFF"/>
                <w:sz w:val="20"/>
                <w:szCs w:val="20"/>
              </w:rPr>
              <w:t>F1</w:t>
            </w:r>
          </w:p>
        </w:tc>
        <w:tc>
          <w:tcPr>
            <w:tcW w:w="890" w:type="dxa"/>
            <w:tcBorders>
              <w:top w:val="single" w:sz="4" w:space="0" w:color="1E3A5F"/>
              <w:left w:val="single" w:sz="4" w:space="0" w:color="1E3A5F"/>
              <w:bottom w:val="single" w:sz="4" w:space="0" w:color="1E3A5F"/>
              <w:right w:val="single" w:sz="4" w:space="0" w:color="1E3A5F"/>
            </w:tcBorders>
            <w:shd w:fill="1E3A5F" w:val="clear"/>
            <w:vAlign w:val="center"/>
          </w:tcPr>
          <w:p>
            <w:pPr>
              <w:pStyle w:val="Normal"/>
              <w:widowControl w:val="false"/>
              <w:jc w:val="center"/>
              <w:rPr/>
            </w:pPr>
            <w:r>
              <w:rPr>
                <w:rFonts w:eastAsia="Arial" w:cs="Arial"/>
                <w:b/>
                <w:bCs/>
                <w:color w:val="FFFFFF"/>
                <w:sz w:val="20"/>
                <w:szCs w:val="20"/>
              </w:rPr>
              <w:t>nCC</w:t>
            </w:r>
          </w:p>
        </w:tc>
        <w:tc>
          <w:tcPr>
            <w:tcW w:w="892" w:type="dxa"/>
            <w:tcBorders>
              <w:top w:val="single" w:sz="4" w:space="0" w:color="1E3A5F"/>
              <w:left w:val="single" w:sz="4" w:space="0" w:color="1E3A5F"/>
              <w:bottom w:val="single" w:sz="4" w:space="0" w:color="1E3A5F"/>
              <w:right w:val="single" w:sz="4" w:space="0" w:color="1E3A5F"/>
            </w:tcBorders>
            <w:shd w:fill="1E3A5F" w:val="clear"/>
            <w:vAlign w:val="center"/>
          </w:tcPr>
          <w:p>
            <w:pPr>
              <w:pStyle w:val="Normal"/>
              <w:widowControl w:val="false"/>
              <w:jc w:val="center"/>
              <w:rPr/>
            </w:pPr>
            <w:r>
              <w:rPr>
                <w:rFonts w:eastAsia="Arial" w:cs="Arial"/>
                <w:b/>
                <w:bCs/>
                <w:color w:val="FFFFFF"/>
                <w:sz w:val="20"/>
                <w:szCs w:val="20"/>
              </w:rPr>
              <w:t>Site Acc.</w:t>
            </w:r>
          </w:p>
        </w:tc>
        <w:tc>
          <w:tcPr>
            <w:tcW w:w="1740" w:type="dxa"/>
            <w:tcBorders>
              <w:top w:val="single" w:sz="4" w:space="0" w:color="1E3A5F"/>
              <w:left w:val="single" w:sz="4" w:space="0" w:color="1E3A5F"/>
              <w:bottom w:val="single" w:sz="4" w:space="0" w:color="1E3A5F"/>
              <w:right w:val="single" w:sz="4" w:space="0" w:color="1E3A5F"/>
            </w:tcBorders>
            <w:shd w:fill="1E3A5F" w:val="clear"/>
            <w:vAlign w:val="center"/>
          </w:tcPr>
          <w:p>
            <w:pPr>
              <w:pStyle w:val="Normal"/>
              <w:widowControl w:val="false"/>
              <w:jc w:val="center"/>
              <w:rPr/>
            </w:pPr>
            <w:r>
              <w:rPr>
                <w:rFonts w:eastAsia="Arial" w:cs="Arial"/>
                <w:b/>
                <w:bCs/>
                <w:color w:val="FFFFFF"/>
                <w:sz w:val="20"/>
                <w:szCs w:val="20"/>
              </w:rPr>
              <w:t>IC (bits)</w:t>
            </w:r>
          </w:p>
        </w:tc>
      </w:tr>
      <w:tr>
        <w:trPr/>
        <w:tc>
          <w:tcPr>
            <w:tcW w:w="1781" w:type="dxa"/>
            <w:tcBorders>
              <w:top w:val="single" w:sz="4" w:space="0" w:color="CCCCCC"/>
              <w:left w:val="single" w:sz="4" w:space="0" w:color="CCCCCC"/>
              <w:bottom w:val="single" w:sz="4" w:space="0" w:color="CCCCCC"/>
              <w:right w:val="single" w:sz="4" w:space="0" w:color="CCCCCC"/>
            </w:tcBorders>
            <w:shd w:fill="F0F4F8"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TATA-box</w:t>
            </w:r>
          </w:p>
        </w:tc>
        <w:tc>
          <w:tcPr>
            <w:tcW w:w="1385" w:type="dxa"/>
            <w:tcBorders>
              <w:top w:val="single" w:sz="4" w:space="0" w:color="CCCCCC"/>
              <w:left w:val="single" w:sz="4" w:space="0" w:color="CCCCCC"/>
              <w:bottom w:val="single" w:sz="4" w:space="0" w:color="CCCCCC"/>
              <w:right w:val="single" w:sz="4" w:space="0" w:color="CCCCCC"/>
            </w:tcBorders>
            <w:shd w:fill="F0F4F8" w:val="clear"/>
            <w:tcMar>
              <w:top w:w="60" w:type="dxa"/>
              <w:left w:w="100" w:type="dxa"/>
              <w:bottom w:w="60" w:type="dxa"/>
              <w:right w:w="100" w:type="dxa"/>
            </w:tcMar>
            <w:vAlign w:val="center"/>
          </w:tcPr>
          <w:p>
            <w:pPr>
              <w:pStyle w:val="Normal"/>
              <w:widowControl w:val="false"/>
              <w:jc w:val="left"/>
              <w:rPr/>
            </w:pPr>
            <w:r>
              <w:rPr>
                <w:rFonts w:eastAsia="Arial" w:cs="Arial"/>
                <w:b/>
                <w:bCs/>
                <w:color w:val="1A1A1A"/>
                <w:sz w:val="20"/>
                <w:szCs w:val="20"/>
              </w:rPr>
              <w:t>MEME</w:t>
            </w:r>
          </w:p>
        </w:tc>
        <w:tc>
          <w:tcPr>
            <w:tcW w:w="890" w:type="dxa"/>
            <w:tcBorders>
              <w:top w:val="single" w:sz="4" w:space="0" w:color="CCCCCC"/>
              <w:left w:val="single" w:sz="4" w:space="0" w:color="CCCCCC"/>
              <w:bottom w:val="single" w:sz="4" w:space="0" w:color="CCCCCC"/>
              <w:right w:val="single" w:sz="4" w:space="0" w:color="CCCCCC"/>
            </w:tcBorders>
            <w:shd w:fill="F0F4F8"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0.78</w:t>
            </w:r>
          </w:p>
        </w:tc>
        <w:tc>
          <w:tcPr>
            <w:tcW w:w="890" w:type="dxa"/>
            <w:tcBorders>
              <w:top w:val="single" w:sz="4" w:space="0" w:color="CCCCCC"/>
              <w:left w:val="single" w:sz="4" w:space="0" w:color="CCCCCC"/>
              <w:bottom w:val="single" w:sz="4" w:space="0" w:color="CCCCCC"/>
              <w:right w:val="single" w:sz="4" w:space="0" w:color="CCCCCC"/>
            </w:tcBorders>
            <w:shd w:fill="F0F4F8"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0.78</w:t>
            </w:r>
          </w:p>
        </w:tc>
        <w:tc>
          <w:tcPr>
            <w:tcW w:w="891" w:type="dxa"/>
            <w:tcBorders>
              <w:top w:val="single" w:sz="4" w:space="0" w:color="CCCCCC"/>
              <w:left w:val="single" w:sz="4" w:space="0" w:color="CCCCCC"/>
              <w:bottom w:val="single" w:sz="4" w:space="0" w:color="CCCCCC"/>
              <w:right w:val="single" w:sz="4" w:space="0" w:color="CCCCCC"/>
            </w:tcBorders>
            <w:shd w:fill="F0F4F8"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0.78</w:t>
            </w:r>
          </w:p>
        </w:tc>
        <w:tc>
          <w:tcPr>
            <w:tcW w:w="890" w:type="dxa"/>
            <w:tcBorders>
              <w:top w:val="single" w:sz="4" w:space="0" w:color="CCCCCC"/>
              <w:left w:val="single" w:sz="4" w:space="0" w:color="CCCCCC"/>
              <w:bottom w:val="single" w:sz="4" w:space="0" w:color="CCCCCC"/>
              <w:right w:val="single" w:sz="4" w:space="0" w:color="CCCCCC"/>
            </w:tcBorders>
            <w:shd w:fill="F0F4F8"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0.78</w:t>
            </w:r>
          </w:p>
        </w:tc>
        <w:tc>
          <w:tcPr>
            <w:tcW w:w="892" w:type="dxa"/>
            <w:tcBorders>
              <w:top w:val="single" w:sz="4" w:space="0" w:color="CCCCCC"/>
              <w:left w:val="single" w:sz="4" w:space="0" w:color="CCCCCC"/>
              <w:bottom w:val="single" w:sz="4" w:space="0" w:color="CCCCCC"/>
              <w:right w:val="single" w:sz="4" w:space="0" w:color="CCCCCC"/>
            </w:tcBorders>
            <w:shd w:fill="F0F4F8"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0.90</w:t>
            </w:r>
          </w:p>
        </w:tc>
        <w:tc>
          <w:tcPr>
            <w:tcW w:w="1740" w:type="dxa"/>
            <w:tcBorders>
              <w:top w:val="single" w:sz="4" w:space="0" w:color="CCCCCC"/>
              <w:left w:val="single" w:sz="4" w:space="0" w:color="CCCCCC"/>
              <w:bottom w:val="single" w:sz="4" w:space="0" w:color="CCCCCC"/>
              <w:right w:val="single" w:sz="4" w:space="0" w:color="CCCCCC"/>
            </w:tcBorders>
            <w:shd w:fill="F0F4F8"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6.96</w:t>
            </w:r>
          </w:p>
        </w:tc>
      </w:tr>
      <w:tr>
        <w:trPr/>
        <w:tc>
          <w:tcPr>
            <w:tcW w:w="1781" w:type="dxa"/>
            <w:tcBorders>
              <w:top w:val="single" w:sz="4" w:space="0" w:color="CCCCCC"/>
              <w:left w:val="single" w:sz="4" w:space="0" w:color="CCCCCC"/>
              <w:bottom w:val="single" w:sz="4" w:space="0" w:color="CCCCCC"/>
              <w:right w:val="single" w:sz="4" w:space="0" w:color="CCCCCC"/>
            </w:tcBorders>
            <w:shd w:fill="FFFFFF"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TATA-box</w:t>
            </w:r>
          </w:p>
        </w:tc>
        <w:tc>
          <w:tcPr>
            <w:tcW w:w="1385" w:type="dxa"/>
            <w:tcBorders>
              <w:top w:val="single" w:sz="4" w:space="0" w:color="CCCCCC"/>
              <w:left w:val="single" w:sz="4" w:space="0" w:color="CCCCCC"/>
              <w:bottom w:val="single" w:sz="4" w:space="0" w:color="CCCCCC"/>
              <w:right w:val="single" w:sz="4" w:space="0" w:color="CCCCCC"/>
            </w:tcBorders>
            <w:shd w:fill="FFFFFF" w:val="clear"/>
            <w:tcMar>
              <w:top w:w="60" w:type="dxa"/>
              <w:left w:w="100" w:type="dxa"/>
              <w:bottom w:w="60" w:type="dxa"/>
              <w:right w:w="100" w:type="dxa"/>
            </w:tcMar>
            <w:vAlign w:val="center"/>
          </w:tcPr>
          <w:p>
            <w:pPr>
              <w:pStyle w:val="Normal"/>
              <w:widowControl w:val="false"/>
              <w:jc w:val="left"/>
              <w:rPr/>
            </w:pPr>
            <w:r>
              <w:rPr>
                <w:rFonts w:eastAsia="Arial" w:cs="Arial"/>
                <w:b/>
                <w:bCs/>
                <w:color w:val="0D6E8A"/>
                <w:sz w:val="20"/>
                <w:szCs w:val="20"/>
              </w:rPr>
              <w:t>Gibbs</w:t>
            </w:r>
          </w:p>
        </w:tc>
        <w:tc>
          <w:tcPr>
            <w:tcW w:w="890" w:type="dxa"/>
            <w:tcBorders>
              <w:top w:val="single" w:sz="4" w:space="0" w:color="CCCCCC"/>
              <w:left w:val="single" w:sz="4" w:space="0" w:color="CCCCCC"/>
              <w:bottom w:val="single" w:sz="4" w:space="0" w:color="CCCCCC"/>
              <w:right w:val="single" w:sz="4" w:space="0" w:color="CCCCCC"/>
            </w:tcBorders>
            <w:shd w:fill="FFFFFF"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0.79</w:t>
            </w:r>
          </w:p>
        </w:tc>
        <w:tc>
          <w:tcPr>
            <w:tcW w:w="890" w:type="dxa"/>
            <w:tcBorders>
              <w:top w:val="single" w:sz="4" w:space="0" w:color="CCCCCC"/>
              <w:left w:val="single" w:sz="4" w:space="0" w:color="CCCCCC"/>
              <w:bottom w:val="single" w:sz="4" w:space="0" w:color="CCCCCC"/>
              <w:right w:val="single" w:sz="4" w:space="0" w:color="CCCCCC"/>
            </w:tcBorders>
            <w:shd w:fill="FFFFFF"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0.79</w:t>
            </w:r>
          </w:p>
        </w:tc>
        <w:tc>
          <w:tcPr>
            <w:tcW w:w="891" w:type="dxa"/>
            <w:tcBorders>
              <w:top w:val="single" w:sz="4" w:space="0" w:color="CCCCCC"/>
              <w:left w:val="single" w:sz="4" w:space="0" w:color="CCCCCC"/>
              <w:bottom w:val="single" w:sz="4" w:space="0" w:color="CCCCCC"/>
              <w:right w:val="single" w:sz="4" w:space="0" w:color="CCCCCC"/>
            </w:tcBorders>
            <w:shd w:fill="FFFFFF"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0.79</w:t>
            </w:r>
          </w:p>
        </w:tc>
        <w:tc>
          <w:tcPr>
            <w:tcW w:w="890" w:type="dxa"/>
            <w:tcBorders>
              <w:top w:val="single" w:sz="4" w:space="0" w:color="CCCCCC"/>
              <w:left w:val="single" w:sz="4" w:space="0" w:color="CCCCCC"/>
              <w:bottom w:val="single" w:sz="4" w:space="0" w:color="CCCCCC"/>
              <w:right w:val="single" w:sz="4" w:space="0" w:color="CCCCCC"/>
            </w:tcBorders>
            <w:shd w:fill="FFFFFF"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0.79</w:t>
            </w:r>
          </w:p>
        </w:tc>
        <w:tc>
          <w:tcPr>
            <w:tcW w:w="892" w:type="dxa"/>
            <w:tcBorders>
              <w:top w:val="single" w:sz="4" w:space="0" w:color="CCCCCC"/>
              <w:left w:val="single" w:sz="4" w:space="0" w:color="CCCCCC"/>
              <w:bottom w:val="single" w:sz="4" w:space="0" w:color="CCCCCC"/>
              <w:right w:val="single" w:sz="4" w:space="0" w:color="CCCCCC"/>
            </w:tcBorders>
            <w:shd w:fill="FFFFFF"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0.90</w:t>
            </w:r>
          </w:p>
        </w:tc>
        <w:tc>
          <w:tcPr>
            <w:tcW w:w="1740" w:type="dxa"/>
            <w:tcBorders>
              <w:top w:val="single" w:sz="4" w:space="0" w:color="CCCCCC"/>
              <w:left w:val="single" w:sz="4" w:space="0" w:color="CCCCCC"/>
              <w:bottom w:val="single" w:sz="4" w:space="0" w:color="CCCCCC"/>
              <w:right w:val="single" w:sz="4" w:space="0" w:color="CCCCCC"/>
            </w:tcBorders>
            <w:shd w:fill="FFFFFF"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10.66</w:t>
            </w:r>
          </w:p>
        </w:tc>
      </w:tr>
      <w:tr>
        <w:trPr/>
        <w:tc>
          <w:tcPr>
            <w:tcW w:w="1781" w:type="dxa"/>
            <w:tcBorders>
              <w:top w:val="single" w:sz="4" w:space="0" w:color="CCCCCC"/>
              <w:left w:val="single" w:sz="4" w:space="0" w:color="CCCCCC"/>
              <w:bottom w:val="single" w:sz="4" w:space="0" w:color="CCCCCC"/>
              <w:right w:val="single" w:sz="4" w:space="0" w:color="CCCCCC"/>
            </w:tcBorders>
            <w:shd w:fill="F0F4F8"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E-box</w:t>
            </w:r>
          </w:p>
        </w:tc>
        <w:tc>
          <w:tcPr>
            <w:tcW w:w="1385" w:type="dxa"/>
            <w:tcBorders>
              <w:top w:val="single" w:sz="4" w:space="0" w:color="CCCCCC"/>
              <w:left w:val="single" w:sz="4" w:space="0" w:color="CCCCCC"/>
              <w:bottom w:val="single" w:sz="4" w:space="0" w:color="CCCCCC"/>
              <w:right w:val="single" w:sz="4" w:space="0" w:color="CCCCCC"/>
            </w:tcBorders>
            <w:shd w:fill="F0F4F8" w:val="clear"/>
            <w:tcMar>
              <w:top w:w="60" w:type="dxa"/>
              <w:left w:w="100" w:type="dxa"/>
              <w:bottom w:w="60" w:type="dxa"/>
              <w:right w:w="100" w:type="dxa"/>
            </w:tcMar>
            <w:vAlign w:val="center"/>
          </w:tcPr>
          <w:p>
            <w:pPr>
              <w:pStyle w:val="Normal"/>
              <w:widowControl w:val="false"/>
              <w:jc w:val="left"/>
              <w:rPr/>
            </w:pPr>
            <w:r>
              <w:rPr>
                <w:rFonts w:eastAsia="Arial" w:cs="Arial"/>
                <w:b/>
                <w:bCs/>
                <w:color w:val="1A1A1A"/>
                <w:sz w:val="20"/>
                <w:szCs w:val="20"/>
              </w:rPr>
              <w:t>MEME</w:t>
            </w:r>
          </w:p>
        </w:tc>
        <w:tc>
          <w:tcPr>
            <w:tcW w:w="890" w:type="dxa"/>
            <w:tcBorders>
              <w:top w:val="single" w:sz="4" w:space="0" w:color="CCCCCC"/>
              <w:left w:val="single" w:sz="4" w:space="0" w:color="CCCCCC"/>
              <w:bottom w:val="single" w:sz="4" w:space="0" w:color="CCCCCC"/>
              <w:right w:val="single" w:sz="4" w:space="0" w:color="CCCCCC"/>
            </w:tcBorders>
            <w:shd w:fill="F0F4F8"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0.75</w:t>
            </w:r>
          </w:p>
        </w:tc>
        <w:tc>
          <w:tcPr>
            <w:tcW w:w="890" w:type="dxa"/>
            <w:tcBorders>
              <w:top w:val="single" w:sz="4" w:space="0" w:color="CCCCCC"/>
              <w:left w:val="single" w:sz="4" w:space="0" w:color="CCCCCC"/>
              <w:bottom w:val="single" w:sz="4" w:space="0" w:color="CCCCCC"/>
              <w:right w:val="single" w:sz="4" w:space="0" w:color="CCCCCC"/>
            </w:tcBorders>
            <w:shd w:fill="F0F4F8"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0.75</w:t>
            </w:r>
          </w:p>
        </w:tc>
        <w:tc>
          <w:tcPr>
            <w:tcW w:w="891" w:type="dxa"/>
            <w:tcBorders>
              <w:top w:val="single" w:sz="4" w:space="0" w:color="CCCCCC"/>
              <w:left w:val="single" w:sz="4" w:space="0" w:color="CCCCCC"/>
              <w:bottom w:val="single" w:sz="4" w:space="0" w:color="CCCCCC"/>
              <w:right w:val="single" w:sz="4" w:space="0" w:color="CCCCCC"/>
            </w:tcBorders>
            <w:shd w:fill="F0F4F8"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0.75</w:t>
            </w:r>
          </w:p>
        </w:tc>
        <w:tc>
          <w:tcPr>
            <w:tcW w:w="890" w:type="dxa"/>
            <w:tcBorders>
              <w:top w:val="single" w:sz="4" w:space="0" w:color="CCCCCC"/>
              <w:left w:val="single" w:sz="4" w:space="0" w:color="CCCCCC"/>
              <w:bottom w:val="single" w:sz="4" w:space="0" w:color="CCCCCC"/>
              <w:right w:val="single" w:sz="4" w:space="0" w:color="CCCCCC"/>
            </w:tcBorders>
            <w:shd w:fill="F0F4F8"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0.75</w:t>
            </w:r>
          </w:p>
        </w:tc>
        <w:tc>
          <w:tcPr>
            <w:tcW w:w="892" w:type="dxa"/>
            <w:tcBorders>
              <w:top w:val="single" w:sz="4" w:space="0" w:color="CCCCCC"/>
              <w:left w:val="single" w:sz="4" w:space="0" w:color="CCCCCC"/>
              <w:bottom w:val="single" w:sz="4" w:space="0" w:color="CCCCCC"/>
              <w:right w:val="single" w:sz="4" w:space="0" w:color="CCCCCC"/>
            </w:tcBorders>
            <w:shd w:fill="F0F4F8"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0.75</w:t>
            </w:r>
          </w:p>
        </w:tc>
        <w:tc>
          <w:tcPr>
            <w:tcW w:w="1740" w:type="dxa"/>
            <w:tcBorders>
              <w:top w:val="single" w:sz="4" w:space="0" w:color="CCCCCC"/>
              <w:left w:val="single" w:sz="4" w:space="0" w:color="CCCCCC"/>
              <w:bottom w:val="single" w:sz="4" w:space="0" w:color="CCCCCC"/>
              <w:right w:val="single" w:sz="4" w:space="0" w:color="CCCCCC"/>
            </w:tcBorders>
            <w:shd w:fill="F0F4F8"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6.90</w:t>
            </w:r>
          </w:p>
        </w:tc>
      </w:tr>
      <w:tr>
        <w:trPr/>
        <w:tc>
          <w:tcPr>
            <w:tcW w:w="1781" w:type="dxa"/>
            <w:tcBorders>
              <w:top w:val="single" w:sz="4" w:space="0" w:color="CCCCCC"/>
              <w:left w:val="single" w:sz="4" w:space="0" w:color="CCCCCC"/>
              <w:bottom w:val="single" w:sz="4" w:space="0" w:color="CCCCCC"/>
              <w:right w:val="single" w:sz="4" w:space="0" w:color="CCCCCC"/>
            </w:tcBorders>
            <w:shd w:fill="FFFFFF"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E-box</w:t>
            </w:r>
          </w:p>
        </w:tc>
        <w:tc>
          <w:tcPr>
            <w:tcW w:w="1385" w:type="dxa"/>
            <w:tcBorders>
              <w:top w:val="single" w:sz="4" w:space="0" w:color="CCCCCC"/>
              <w:left w:val="single" w:sz="4" w:space="0" w:color="CCCCCC"/>
              <w:bottom w:val="single" w:sz="4" w:space="0" w:color="CCCCCC"/>
              <w:right w:val="single" w:sz="4" w:space="0" w:color="CCCCCC"/>
            </w:tcBorders>
            <w:shd w:fill="FFFFFF" w:val="clear"/>
            <w:tcMar>
              <w:top w:w="60" w:type="dxa"/>
              <w:left w:w="100" w:type="dxa"/>
              <w:bottom w:w="60" w:type="dxa"/>
              <w:right w:w="100" w:type="dxa"/>
            </w:tcMar>
            <w:vAlign w:val="center"/>
          </w:tcPr>
          <w:p>
            <w:pPr>
              <w:pStyle w:val="Normal"/>
              <w:widowControl w:val="false"/>
              <w:jc w:val="left"/>
              <w:rPr/>
            </w:pPr>
            <w:r>
              <w:rPr>
                <w:rFonts w:eastAsia="Arial" w:cs="Arial"/>
                <w:b/>
                <w:bCs/>
                <w:color w:val="0D6E8A"/>
                <w:sz w:val="20"/>
                <w:szCs w:val="20"/>
              </w:rPr>
              <w:t>Gibbs</w:t>
            </w:r>
          </w:p>
        </w:tc>
        <w:tc>
          <w:tcPr>
            <w:tcW w:w="890" w:type="dxa"/>
            <w:tcBorders>
              <w:top w:val="single" w:sz="4" w:space="0" w:color="CCCCCC"/>
              <w:left w:val="single" w:sz="4" w:space="0" w:color="CCCCCC"/>
              <w:bottom w:val="single" w:sz="4" w:space="0" w:color="CCCCCC"/>
              <w:right w:val="single" w:sz="4" w:space="0" w:color="CCCCCC"/>
            </w:tcBorders>
            <w:shd w:fill="FFFFFF"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0.80</w:t>
            </w:r>
          </w:p>
        </w:tc>
        <w:tc>
          <w:tcPr>
            <w:tcW w:w="890" w:type="dxa"/>
            <w:tcBorders>
              <w:top w:val="single" w:sz="4" w:space="0" w:color="CCCCCC"/>
              <w:left w:val="single" w:sz="4" w:space="0" w:color="CCCCCC"/>
              <w:bottom w:val="single" w:sz="4" w:space="0" w:color="CCCCCC"/>
              <w:right w:val="single" w:sz="4" w:space="0" w:color="CCCCCC"/>
            </w:tcBorders>
            <w:shd w:fill="FFFFFF"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0.80</w:t>
            </w:r>
          </w:p>
        </w:tc>
        <w:tc>
          <w:tcPr>
            <w:tcW w:w="891" w:type="dxa"/>
            <w:tcBorders>
              <w:top w:val="single" w:sz="4" w:space="0" w:color="CCCCCC"/>
              <w:left w:val="single" w:sz="4" w:space="0" w:color="CCCCCC"/>
              <w:bottom w:val="single" w:sz="4" w:space="0" w:color="CCCCCC"/>
              <w:right w:val="single" w:sz="4" w:space="0" w:color="CCCCCC"/>
            </w:tcBorders>
            <w:shd w:fill="FFFFFF"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0.80</w:t>
            </w:r>
          </w:p>
        </w:tc>
        <w:tc>
          <w:tcPr>
            <w:tcW w:w="890" w:type="dxa"/>
            <w:tcBorders>
              <w:top w:val="single" w:sz="4" w:space="0" w:color="CCCCCC"/>
              <w:left w:val="single" w:sz="4" w:space="0" w:color="CCCCCC"/>
              <w:bottom w:val="single" w:sz="4" w:space="0" w:color="CCCCCC"/>
              <w:right w:val="single" w:sz="4" w:space="0" w:color="CCCCCC"/>
            </w:tcBorders>
            <w:shd w:fill="FFFFFF"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0.80</w:t>
            </w:r>
          </w:p>
        </w:tc>
        <w:tc>
          <w:tcPr>
            <w:tcW w:w="892" w:type="dxa"/>
            <w:tcBorders>
              <w:top w:val="single" w:sz="4" w:space="0" w:color="CCCCCC"/>
              <w:left w:val="single" w:sz="4" w:space="0" w:color="CCCCCC"/>
              <w:bottom w:val="single" w:sz="4" w:space="0" w:color="CCCCCC"/>
              <w:right w:val="single" w:sz="4" w:space="0" w:color="CCCCCC"/>
            </w:tcBorders>
            <w:shd w:fill="FFFFFF"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0.80</w:t>
            </w:r>
          </w:p>
        </w:tc>
        <w:tc>
          <w:tcPr>
            <w:tcW w:w="1740" w:type="dxa"/>
            <w:tcBorders>
              <w:top w:val="single" w:sz="4" w:space="0" w:color="CCCCCC"/>
              <w:left w:val="single" w:sz="4" w:space="0" w:color="CCCCCC"/>
              <w:bottom w:val="single" w:sz="4" w:space="0" w:color="CCCCCC"/>
              <w:right w:val="single" w:sz="4" w:space="0" w:color="CCCCCC"/>
            </w:tcBorders>
            <w:shd w:fill="FFFFFF"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8.73</w:t>
            </w:r>
          </w:p>
        </w:tc>
      </w:tr>
    </w:tbl>
    <w:p>
      <w:pPr>
        <w:pStyle w:val="Normal"/>
        <w:spacing w:before="0" w:after="80"/>
        <w:rPr/>
      </w:pPr>
      <w:r>
        <w:rPr/>
      </w:r>
    </w:p>
    <w:p>
      <w:pPr>
        <w:pStyle w:val="Normal"/>
        <w:spacing w:before="0" w:after="200"/>
        <w:jc w:val="center"/>
        <w:rPr/>
      </w:pPr>
      <w:r>
        <w:rPr>
          <w:rFonts w:eastAsia="Arial" w:cs="Arial"/>
          <w:color w:val="555555"/>
          <w:sz w:val="20"/>
          <w:szCs w:val="20"/>
        </w:rPr>
        <w:t>Table 5.2: Quantitative evaluation on synthetic benchmarks with planted ground truth.</w:t>
      </w:r>
    </w:p>
    <w:p>
      <w:pPr>
        <w:pStyle w:val="Heading2"/>
        <w:spacing w:before="280" w:after="120"/>
        <w:rPr/>
      </w:pPr>
      <w:r>
        <w:rPr>
          <w:b/>
          <w:bCs/>
        </w:rPr>
        <w:t>5.6  Gibbs Sampling vs. MEME: Comparative Analysis</w:t>
      </w:r>
    </w:p>
    <w:p>
      <w:pPr>
        <w:pStyle w:val="Normal"/>
        <w:spacing w:before="0" w:after="120"/>
        <w:jc w:val="both"/>
        <w:rPr/>
      </w:pPr>
      <w:r>
        <w:rPr>
          <w:rFonts w:eastAsia="Arial" w:cs="Arial"/>
          <w:color w:val="1A1A1A"/>
          <w:sz w:val="24"/>
          <w:szCs w:val="24"/>
        </w:rPr>
        <w:t>Gibbs Sampling outperformed MEME in information content in all 10 fully-evaluated datasets, with an average advantage of +1.2 bits. The advantage was largest for high-IC motifs (CTCF: +2.29 bits; TATA-box benchmark: +3.70 bits) and smallest for lower-IC motifs (plant bZIP: +0.21 bits).</w:t>
      </w:r>
    </w:p>
    <w:p>
      <w:pPr>
        <w:pStyle w:val="Normal"/>
        <w:spacing w:before="0" w:after="120"/>
        <w:jc w:val="both"/>
        <w:rPr/>
      </w:pPr>
      <w:r>
        <w:rPr>
          <w:rFonts w:eastAsia="Arial" w:cs="Arial"/>
          <w:color w:val="1A1A1A"/>
          <w:sz w:val="24"/>
          <w:szCs w:val="24"/>
        </w:rPr>
        <w:t>MEME provides advantages that Gibbs lacks: deterministic E-values that enable comparison across experiments; multi-motif discovery with the erasing strategy; and faster convergence for low-noise motifs. MEME also scales better to large sequence sets because each EM iteration has O(N·L) complexity, while Gibbs's per-run complexity is O(n_iter·N·L) with multiple restarts adding a constant factor.</w:t>
      </w:r>
    </w:p>
    <w:p>
      <w:pPr>
        <w:pStyle w:val="Normal"/>
        <w:spacing w:before="0" w:after="120"/>
        <w:jc w:val="both"/>
        <w:rPr/>
      </w:pPr>
      <w:r>
        <w:rPr>
          <w:rFonts w:eastAsia="Arial" w:cs="Arial"/>
          <w:color w:val="1A1A1A"/>
          <w:sz w:val="24"/>
          <w:szCs w:val="24"/>
        </w:rPr>
        <w:t>The complementary strengths suggest a practical workflow: use MEME for initial discovery and E-value computation, then refine with Gibbs Sampling to maximise IC and identify the highest-specificity motif representation.</w:t>
      </w:r>
    </w:p>
    <w:p>
      <w:pPr>
        <w:pStyle w:val="Heading2"/>
        <w:spacing w:before="280" w:after="120"/>
        <w:rPr/>
      </w:pPr>
      <w:r>
        <w:rPr>
          <w:b/>
          <w:bCs/>
        </w:rPr>
        <w:t>5.7  Validation Against Published Literature</w:t>
      </w:r>
    </w:p>
    <w:p>
      <w:pPr>
        <w:pStyle w:val="Normal"/>
        <w:spacing w:before="0" w:after="120"/>
        <w:jc w:val="both"/>
        <w:rPr/>
      </w:pPr>
      <w:r>
        <w:rPr>
          <w:rFonts w:eastAsia="Arial" w:cs="Arial"/>
          <w:color w:val="1A1A1A"/>
          <w:sz w:val="24"/>
          <w:szCs w:val="24"/>
        </w:rPr>
        <w:t>All motifs recovered from real JASPAR data were cross-validated against their primary publications:</w:t>
      </w:r>
    </w:p>
    <w:p>
      <w:pPr>
        <w:pStyle w:val="ListParagraph"/>
        <w:numPr>
          <w:ilvl w:val="0"/>
          <w:numId w:val="110"/>
        </w:numPr>
        <w:spacing w:before="0" w:after="60"/>
        <w:rPr/>
      </w:pPr>
      <w:r>
        <w:rPr>
          <w:rFonts w:eastAsia="Arial" w:cs="Arial"/>
          <w:color w:val="1A1A1A"/>
          <w:sz w:val="24"/>
          <w:szCs w:val="24"/>
        </w:rPr>
        <w:t>ACACGTGT (plant bZIP) matches ACGT-core / G-box in Uno et al. (2000), PubMed 10688882.</w:t>
      </w:r>
    </w:p>
    <w:p>
      <w:pPr>
        <w:pStyle w:val="ListParagraph"/>
        <w:numPr>
          <w:ilvl w:val="0"/>
          <w:numId w:val="111"/>
        </w:numPr>
        <w:spacing w:before="0" w:after="60"/>
        <w:rPr/>
      </w:pPr>
      <w:r>
        <w:rPr>
          <w:rFonts w:eastAsia="Arial" w:cs="Arial"/>
          <w:color w:val="1A1A1A"/>
          <w:sz w:val="24"/>
          <w:szCs w:val="24"/>
        </w:rPr>
        <w:t>CACCAGGGGG (CTCF) matches the GC-rich insulator motif in Kim et al. (2007), PubMed 17898714.</w:t>
      </w:r>
    </w:p>
    <w:p>
      <w:pPr>
        <w:pStyle w:val="ListParagraph"/>
        <w:numPr>
          <w:ilvl w:val="0"/>
          <w:numId w:val="112"/>
        </w:numPr>
        <w:spacing w:before="0" w:after="60"/>
        <w:rPr/>
      </w:pPr>
      <w:r>
        <w:rPr>
          <w:rFonts w:eastAsia="Arial" w:cs="Arial"/>
          <w:color w:val="1A1A1A"/>
          <w:sz w:val="24"/>
          <w:szCs w:val="24"/>
        </w:rPr>
        <w:t>TTGGCGCC / GGCGGGAG (E2F1) matches GCGCGCGC in Nevins (1992), PubMed 1547942.</w:t>
      </w:r>
    </w:p>
    <w:p>
      <w:pPr>
        <w:pStyle w:val="ListParagraph"/>
        <w:numPr>
          <w:ilvl w:val="0"/>
          <w:numId w:val="113"/>
        </w:numPr>
        <w:spacing w:before="0" w:after="60"/>
        <w:rPr/>
      </w:pPr>
      <w:r>
        <w:rPr>
          <w:rFonts w:eastAsia="Arial" w:cs="Arial"/>
          <w:color w:val="1A1A1A"/>
          <w:sz w:val="24"/>
          <w:szCs w:val="24"/>
        </w:rPr>
        <w:t>GTAATAAA (HOXA10) contains canonical TAAT homeodomain core from Gehring et al. (1994), PubMed 7958926.</w:t>
      </w:r>
    </w:p>
    <w:p>
      <w:pPr>
        <w:pStyle w:val="ListParagraph"/>
        <w:numPr>
          <w:ilvl w:val="0"/>
          <w:numId w:val="114"/>
        </w:numPr>
        <w:spacing w:before="0" w:after="60"/>
        <w:rPr/>
      </w:pPr>
      <w:r>
        <w:rPr>
          <w:rFonts w:eastAsia="Arial" w:cs="Arial"/>
          <w:color w:val="1A1A1A"/>
          <w:sz w:val="24"/>
          <w:szCs w:val="24"/>
        </w:rPr>
        <w:t>CTAGATAT / CTCTAGAA (ABF1 yeast) matches RTCGATCGA consensus from Buchman et al. (1988), PubMed 3266657.</w:t>
      </w:r>
    </w:p>
    <w:p>
      <w:pPr>
        <w:pStyle w:val="Normal"/>
        <w:spacing w:before="0" w:after="120"/>
        <w:jc w:val="both"/>
        <w:rPr/>
      </w:pPr>
      <w:r>
        <w:rPr>
          <w:rFonts w:eastAsia="Arial" w:cs="Arial"/>
          <w:color w:val="1A1A1A"/>
          <w:sz w:val="24"/>
          <w:szCs w:val="24"/>
        </w:rPr>
        <w:t>In all cases, the computationally discovered motifs are consistent with or subsume the published experimentally determined binding sequences, confirming the biological validity of the pipeline.</w:t>
      </w:r>
    </w:p>
    <w:p>
      <w:pPr>
        <w:pStyle w:val="Normal"/>
        <w:spacing w:before="0" w:after="0"/>
        <w:rPr/>
      </w:pPr>
      <w:r>
        <w:rPr/>
      </w:r>
      <w:r>
        <w:br w:type="page"/>
      </w:r>
    </w:p>
    <w:p>
      <w:pPr>
        <w:pStyle w:val="Heading1"/>
        <w:spacing w:before="360" w:after="180"/>
        <w:rPr/>
      </w:pPr>
      <w:r>
        <w:rPr>
          <w:b/>
          <w:bCs/>
        </w:rPr>
        <w:t>Chapter 6: Applications and Future Work</w:t>
      </w:r>
    </w:p>
    <w:p>
      <w:pPr>
        <w:pStyle w:val="Normal"/>
        <w:pBdr>
          <w:bottom w:val="single" w:sz="6" w:space="1" w:color="1E3A5F"/>
        </w:pBdr>
        <w:spacing w:before="0" w:after="120"/>
        <w:rPr/>
      </w:pPr>
      <w:r>
        <w:rPr/>
      </w:r>
    </w:p>
    <w:p>
      <w:pPr>
        <w:pStyle w:val="Heading2"/>
        <w:spacing w:before="280" w:after="120"/>
        <w:rPr/>
      </w:pPr>
      <w:r>
        <w:rPr>
          <w:b/>
          <w:bCs/>
        </w:rPr>
        <w:t>6.1  Real-World Applications of Motif Discovery</w:t>
      </w:r>
    </w:p>
    <w:p>
      <w:pPr>
        <w:pStyle w:val="Heading3"/>
        <w:spacing w:before="200" w:after="80"/>
        <w:rPr/>
      </w:pPr>
      <w:r>
        <w:rPr>
          <w:b/>
          <w:bCs/>
        </w:rPr>
        <w:t>6.1.1  Cancer Genomics</w:t>
      </w:r>
    </w:p>
    <w:p>
      <w:pPr>
        <w:pStyle w:val="Normal"/>
        <w:spacing w:before="0" w:after="120"/>
        <w:jc w:val="both"/>
        <w:rPr/>
      </w:pPr>
      <w:r>
        <w:rPr>
          <w:rFonts w:eastAsia="Arial" w:cs="Arial"/>
          <w:color w:val="1A1A1A"/>
          <w:sz w:val="24"/>
          <w:szCs w:val="24"/>
        </w:rPr>
        <w:t>Mutations in transcription factor binding sites — particularly in the promoters of oncogenes and tumour suppressors — are increasingly recognised as cancer drivers. Systematic motif discovery in cancer vs. normal genome sequences can identify regulatory mutations that alter TF binding and thereby dysregulate gene expression. For example, recurrent mutations in the TERT promoter (creating new E26-transformation-specific, or ETS, binding sites) drive telomerase expression in melanoma and glioblastoma.</w:t>
      </w:r>
    </w:p>
    <w:p>
      <w:pPr>
        <w:pStyle w:val="Heading3"/>
        <w:spacing w:before="200" w:after="80"/>
        <w:rPr/>
      </w:pPr>
      <w:r>
        <w:rPr>
          <w:b/>
          <w:bCs/>
        </w:rPr>
        <w:t>6.1.2  Drug Target Discovery</w:t>
      </w:r>
    </w:p>
    <w:p>
      <w:pPr>
        <w:pStyle w:val="Normal"/>
        <w:spacing w:before="0" w:after="120"/>
        <w:jc w:val="both"/>
        <w:rPr/>
      </w:pPr>
      <w:r>
        <w:rPr>
          <w:rFonts w:eastAsia="Arial" w:cs="Arial"/>
          <w:color w:val="1A1A1A"/>
          <w:sz w:val="24"/>
          <w:szCs w:val="24"/>
        </w:rPr>
        <w:t>Transcription factors are attractive drug targets because they control large gene regulatory programmes. Identifying the precise binding motif of a disease-relevant TF enables structure-based drug design of small molecules that compete with the TF for DNA binding, or that stabilise or destabilise specific TF–DNA complexes. The bZIP motif identified in this project is relevant to ABA-signalling targets in plant stress biology.</w:t>
      </w:r>
    </w:p>
    <w:p>
      <w:pPr>
        <w:pStyle w:val="Heading3"/>
        <w:spacing w:before="200" w:after="80"/>
        <w:rPr/>
      </w:pPr>
      <w:r>
        <w:rPr>
          <w:b/>
          <w:bCs/>
        </w:rPr>
        <w:t>6.1.3  Synthetic Biology and Promoter Engineering</w:t>
      </w:r>
    </w:p>
    <w:p>
      <w:pPr>
        <w:pStyle w:val="Normal"/>
        <w:spacing w:before="0" w:after="120"/>
        <w:jc w:val="both"/>
        <w:rPr/>
      </w:pPr>
      <w:r>
        <w:rPr>
          <w:rFonts w:eastAsia="Arial" w:cs="Arial"/>
          <w:color w:val="1A1A1A"/>
          <w:sz w:val="24"/>
          <w:szCs w:val="24"/>
        </w:rPr>
        <w:t>Designed gene circuits require synthetic promoter sequences with programmable regulatory properties. Motif discovery identifies the minimal sequence elements required for transcription factor recruitment; these elements can then be combined in engineered promoters to achieve desired expression patterns. The constitutive yeast TDH3 promoter has been systematically dissected by motif analysis to identify Gcr1 and Rap1 binding sites that are essential for strong constitutive expression.</w:t>
      </w:r>
    </w:p>
    <w:p>
      <w:pPr>
        <w:pStyle w:val="Heading3"/>
        <w:spacing w:before="200" w:after="80"/>
        <w:rPr/>
      </w:pPr>
      <w:r>
        <w:rPr>
          <w:b/>
          <w:bCs/>
        </w:rPr>
        <w:t>6.1.4  Comparative Genomics</w:t>
      </w:r>
    </w:p>
    <w:p>
      <w:pPr>
        <w:pStyle w:val="Normal"/>
        <w:spacing w:before="0" w:after="120"/>
        <w:jc w:val="both"/>
        <w:rPr/>
      </w:pPr>
      <w:r>
        <w:rPr>
          <w:rFonts w:eastAsia="Arial" w:cs="Arial"/>
          <w:color w:val="1A1A1A"/>
          <w:sz w:val="24"/>
          <w:szCs w:val="24"/>
        </w:rPr>
        <w:t>Conserved motifs across species are under evolutionary selective pressure, implying functional importance. Motif conservation scores are used to identify functional regulatory elements in non-coding genome regions that lack experimental characterisation. Conversely, species-specific motifs may explain gene expression differences between related organisms.</w:t>
      </w:r>
    </w:p>
    <w:p>
      <w:pPr>
        <w:pStyle w:val="Heading3"/>
        <w:spacing w:before="200" w:after="80"/>
        <w:rPr/>
      </w:pPr>
      <w:r>
        <w:rPr>
          <w:b/>
          <w:bCs/>
        </w:rPr>
        <w:t>6.1.5  Personalised Medicine</w:t>
      </w:r>
    </w:p>
    <w:p>
      <w:pPr>
        <w:pStyle w:val="Normal"/>
        <w:spacing w:before="0" w:after="120"/>
        <w:jc w:val="both"/>
        <w:rPr/>
      </w:pPr>
      <w:r>
        <w:rPr>
          <w:rFonts w:eastAsia="Arial" w:cs="Arial"/>
          <w:color w:val="1A1A1A"/>
          <w:sz w:val="24"/>
          <w:szCs w:val="24"/>
        </w:rPr>
        <w:t>Regulatory SNPs (rSNPs) in TF binding sites can alter gene expression levels and predispose individuals to complex diseases. Genome-wide association studies (GWAS) frequently identify disease-associated variants in non-coding regions; motif discovery tools are used to determine whether these variants disrupt or create TF binding sites and thereby affect gene regulation in disease-relevant tissues.</w:t>
      </w:r>
    </w:p>
    <w:p>
      <w:pPr>
        <w:pStyle w:val="Heading2"/>
        <w:spacing w:before="280" w:after="120"/>
        <w:rPr/>
      </w:pPr>
      <w:r>
        <w:rPr>
          <w:b/>
          <w:bCs/>
        </w:rPr>
        <w:t>6.2  Limitations of the Current Implementation</w:t>
      </w:r>
    </w:p>
    <w:p>
      <w:pPr>
        <w:pStyle w:val="ListParagraph"/>
        <w:numPr>
          <w:ilvl w:val="0"/>
          <w:numId w:val="115"/>
        </w:numPr>
        <w:spacing w:before="0" w:after="60"/>
        <w:rPr/>
      </w:pPr>
      <w:r>
        <w:rPr>
          <w:rFonts w:eastAsia="Arial" w:cs="Arial"/>
          <w:color w:val="1A1A1A"/>
          <w:sz w:val="24"/>
          <w:szCs w:val="24"/>
        </w:rPr>
        <w:t>Sequence length constraint: the EM and Gibbs algorithms are quadratic in sequence length for scoring. Very long sequences (&gt;2000 bp) slow the pipeline significantly.</w:t>
      </w:r>
    </w:p>
    <w:p>
      <w:pPr>
        <w:pStyle w:val="ListParagraph"/>
        <w:numPr>
          <w:ilvl w:val="0"/>
          <w:numId w:val="116"/>
        </w:numPr>
        <w:spacing w:before="0" w:after="60"/>
        <w:rPr/>
      </w:pPr>
      <w:r>
        <w:rPr>
          <w:rFonts w:eastAsia="Arial" w:cs="Arial"/>
          <w:color w:val="1A1A1A"/>
          <w:sz w:val="24"/>
          <w:szCs w:val="24"/>
        </w:rPr>
        <w:t>Fixed motif width: the user must specify the motif width W in advance. Real MEME supports automated width selection by testing multiple widths; this is not implemented here.</w:t>
      </w:r>
    </w:p>
    <w:p>
      <w:pPr>
        <w:pStyle w:val="ListParagraph"/>
        <w:numPr>
          <w:ilvl w:val="0"/>
          <w:numId w:val="117"/>
        </w:numPr>
        <w:spacing w:before="0" w:after="60"/>
        <w:rPr/>
      </w:pPr>
      <w:r>
        <w:rPr>
          <w:rFonts w:eastAsia="Arial" w:cs="Arial"/>
          <w:color w:val="1A1A1A"/>
          <w:sz w:val="24"/>
          <w:szCs w:val="24"/>
        </w:rPr>
        <w:t>Single background model: the background is estimated globally across all input sequences. More accurate approaches use per-sequence GC content or higher-order Markov background models.</w:t>
      </w:r>
    </w:p>
    <w:p>
      <w:pPr>
        <w:pStyle w:val="ListParagraph"/>
        <w:numPr>
          <w:ilvl w:val="0"/>
          <w:numId w:val="118"/>
        </w:numPr>
        <w:spacing w:before="0" w:after="60"/>
        <w:rPr/>
      </w:pPr>
      <w:r>
        <w:rPr>
          <w:rFonts w:eastAsia="Arial" w:cs="Arial"/>
          <w:color w:val="1A1A1A"/>
          <w:sz w:val="24"/>
          <w:szCs w:val="24"/>
        </w:rPr>
        <w:t>No gapped motifs: biological motifs sometimes contain internal gaps (insertions/deletions); the current implementation assumes ungapped alignment.</w:t>
      </w:r>
    </w:p>
    <w:p>
      <w:pPr>
        <w:pStyle w:val="ListParagraph"/>
        <w:numPr>
          <w:ilvl w:val="0"/>
          <w:numId w:val="119"/>
        </w:numPr>
        <w:spacing w:before="0" w:after="60"/>
        <w:rPr/>
      </w:pPr>
      <w:r>
        <w:rPr>
          <w:rFonts w:eastAsia="Arial" w:cs="Arial"/>
          <w:color w:val="1A1A1A"/>
          <w:sz w:val="24"/>
          <w:szCs w:val="24"/>
        </w:rPr>
        <w:t>Heuristic seed selection: the seed quality strongly influences MEME results; a more systematic seed selection strategy (e.g., testing all distinct k-mers below a p-value threshold) would improve recall.</w:t>
      </w:r>
    </w:p>
    <w:p>
      <w:pPr>
        <w:pStyle w:val="Heading2"/>
        <w:spacing w:before="280" w:after="120"/>
        <w:rPr/>
      </w:pPr>
      <w:r>
        <w:rPr>
          <w:b/>
          <w:bCs/>
        </w:rPr>
        <w:t>6.3  Future Work</w:t>
      </w:r>
    </w:p>
    <w:p>
      <w:pPr>
        <w:pStyle w:val="ListParagraph"/>
        <w:numPr>
          <w:ilvl w:val="0"/>
          <w:numId w:val="120"/>
        </w:numPr>
        <w:spacing w:before="0" w:after="80"/>
        <w:rPr/>
      </w:pPr>
      <w:r>
        <w:rPr>
          <w:rFonts w:eastAsia="Arial" w:cs="Arial"/>
          <w:color w:val="1A1A1A"/>
          <w:sz w:val="24"/>
          <w:szCs w:val="24"/>
        </w:rPr>
        <w:t>Variable-width motif discovery: implement width scanning across a range (e.g., W = 6 to 20) and select the width with the best E-value, as in the original MEME.</w:t>
      </w:r>
    </w:p>
    <w:p>
      <w:pPr>
        <w:pStyle w:val="ListParagraph"/>
        <w:numPr>
          <w:ilvl w:val="0"/>
          <w:numId w:val="121"/>
        </w:numPr>
        <w:spacing w:before="0" w:after="80"/>
        <w:rPr/>
      </w:pPr>
      <w:r>
        <w:rPr>
          <w:rFonts w:eastAsia="Arial" w:cs="Arial"/>
          <w:color w:val="1A1A1A"/>
          <w:sz w:val="24"/>
          <w:szCs w:val="24"/>
        </w:rPr>
        <w:t>Higher-order background models: implement 2nd or 3rd order Markov chains for background modelling to better capture dinucleotide or trinucleotide composition bias.</w:t>
      </w:r>
    </w:p>
    <w:p>
      <w:pPr>
        <w:pStyle w:val="ListParagraph"/>
        <w:numPr>
          <w:ilvl w:val="0"/>
          <w:numId w:val="122"/>
        </w:numPr>
        <w:spacing w:before="0" w:after="80"/>
        <w:rPr/>
      </w:pPr>
      <w:r>
        <w:rPr>
          <w:rFonts w:eastAsia="Arial" w:cs="Arial"/>
          <w:color w:val="1A1A1A"/>
          <w:sz w:val="24"/>
          <w:szCs w:val="24"/>
        </w:rPr>
        <w:t>Deep learning integration: implement a DeepBind-style convolutional neural network (CNN) motif discovery approach for comparison with MEME and Gibbs Sampling; CNNs can discover complex non-linear sequence features beyond position-independent PWMs.</w:t>
      </w:r>
    </w:p>
    <w:p>
      <w:pPr>
        <w:pStyle w:val="ListParagraph"/>
        <w:numPr>
          <w:ilvl w:val="0"/>
          <w:numId w:val="123"/>
        </w:numPr>
        <w:spacing w:before="0" w:after="80"/>
        <w:rPr/>
      </w:pPr>
      <w:r>
        <w:rPr>
          <w:rFonts w:eastAsia="Arial" w:cs="Arial"/>
          <w:color w:val="1A1A1A"/>
          <w:sz w:val="24"/>
          <w:szCs w:val="24"/>
        </w:rPr>
        <w:t>Gapped motifs: extend the PWM to allow gap positions with reduced weight, enabling discovery of motifs with conserved flanks and variable cores.</w:t>
      </w:r>
    </w:p>
    <w:p>
      <w:pPr>
        <w:pStyle w:val="ListParagraph"/>
        <w:numPr>
          <w:ilvl w:val="0"/>
          <w:numId w:val="124"/>
        </w:numPr>
        <w:spacing w:before="0" w:after="80"/>
        <w:rPr/>
      </w:pPr>
      <w:r>
        <w:rPr>
          <w:rFonts w:eastAsia="Arial" w:cs="Arial"/>
          <w:color w:val="1A1A1A"/>
          <w:sz w:val="24"/>
          <w:szCs w:val="24"/>
        </w:rPr>
        <w:t>Motif clustering: when the same TF family binds multiple related motifs, cluster discovered PWMs by Pearson correlation and represent each cluster by its centroid motif.</w:t>
      </w:r>
    </w:p>
    <w:p>
      <w:pPr>
        <w:pStyle w:val="ListParagraph"/>
        <w:numPr>
          <w:ilvl w:val="0"/>
          <w:numId w:val="125"/>
        </w:numPr>
        <w:spacing w:before="0" w:after="80"/>
        <w:rPr/>
      </w:pPr>
      <w:r>
        <w:rPr>
          <w:rFonts w:eastAsia="Arial" w:cs="Arial"/>
          <w:color w:val="1A1A1A"/>
          <w:sz w:val="24"/>
          <w:szCs w:val="24"/>
        </w:rPr>
        <w:t>Protein sequence motifs: extend the alphabet from 4 (DNA/RNA) to 20 (amino acids) and apply the same EM and Gibbs frameworks to discover protein sequence motifs.</w:t>
      </w:r>
    </w:p>
    <w:p>
      <w:pPr>
        <w:pStyle w:val="ListParagraph"/>
        <w:numPr>
          <w:ilvl w:val="0"/>
          <w:numId w:val="126"/>
        </w:numPr>
        <w:spacing w:before="0" w:after="80"/>
        <w:rPr/>
      </w:pPr>
      <w:r>
        <w:rPr>
          <w:rFonts w:eastAsia="Arial" w:cs="Arial"/>
          <w:color w:val="1A1A1A"/>
          <w:sz w:val="24"/>
          <w:szCs w:val="24"/>
        </w:rPr>
        <w:t>Integration with genome browsers: output motif predictions in BED format for direct visualisation in UCSC Genome Browser or IGV.</w:t>
      </w:r>
    </w:p>
    <w:p>
      <w:pPr>
        <w:pStyle w:val="ListParagraph"/>
        <w:numPr>
          <w:ilvl w:val="0"/>
          <w:numId w:val="127"/>
        </w:numPr>
        <w:spacing w:before="0" w:after="80"/>
        <w:rPr/>
      </w:pPr>
      <w:r>
        <w:rPr>
          <w:rFonts w:eastAsia="Arial" w:cs="Arial"/>
          <w:color w:val="1A1A1A"/>
          <w:sz w:val="24"/>
          <w:szCs w:val="24"/>
        </w:rPr>
        <w:t>Web interface: develop a Flask/Django web application wrapping the pipeline, allowing users to upload FASTA files, select parameters, and view interactive sequence logos.</w:t>
      </w:r>
    </w:p>
    <w:p>
      <w:pPr>
        <w:pStyle w:val="Normal"/>
        <w:spacing w:before="0" w:after="0"/>
        <w:rPr/>
      </w:pPr>
      <w:r>
        <w:rPr/>
      </w:r>
      <w:r>
        <w:br w:type="page"/>
      </w:r>
    </w:p>
    <w:p>
      <w:pPr>
        <w:pStyle w:val="Heading1"/>
        <w:spacing w:before="360" w:after="180"/>
        <w:rPr/>
      </w:pPr>
      <w:r>
        <w:rPr>
          <w:b/>
          <w:bCs/>
        </w:rPr>
        <w:t>Chapter 7: Conclusion</w:t>
      </w:r>
    </w:p>
    <w:p>
      <w:pPr>
        <w:pStyle w:val="Normal"/>
        <w:pBdr>
          <w:bottom w:val="single" w:sz="6" w:space="1" w:color="1E3A5F"/>
        </w:pBdr>
        <w:spacing w:before="0" w:after="120"/>
        <w:rPr/>
      </w:pPr>
      <w:r>
        <w:rPr/>
      </w:r>
    </w:p>
    <w:p>
      <w:pPr>
        <w:pStyle w:val="Normal"/>
        <w:spacing w:before="0" w:after="120"/>
        <w:jc w:val="both"/>
        <w:rPr/>
      </w:pPr>
      <w:r>
        <w:rPr>
          <w:rFonts w:eastAsia="Arial" w:cs="Arial"/>
          <w:color w:val="1A1A1A"/>
          <w:sz w:val="24"/>
          <w:szCs w:val="24"/>
        </w:rPr>
        <w:t>This project set out to implement, validate, and compare two foundational motif discovery algorithms — MEME and Gibbs Sampling — on real biological sequence data. The following goals were achieved:</w:t>
      </w:r>
    </w:p>
    <w:p>
      <w:pPr>
        <w:pStyle w:val="ListParagraph"/>
        <w:numPr>
          <w:ilvl w:val="0"/>
          <w:numId w:val="128"/>
        </w:numPr>
        <w:spacing w:before="0" w:after="80"/>
        <w:rPr/>
      </w:pPr>
      <w:r>
        <w:rPr>
          <w:rFonts w:eastAsia="Arial" w:cs="Arial"/>
          <w:color w:val="1A1A1A"/>
          <w:sz w:val="24"/>
          <w:szCs w:val="24"/>
        </w:rPr>
        <w:t>Full from-scratch implementation of MEME with the Expectation-Maximisation framework, ZOOPS occurrence model, multi-motif erasing strategy, and E-value significance scoring.</w:t>
      </w:r>
    </w:p>
    <w:p>
      <w:pPr>
        <w:pStyle w:val="ListParagraph"/>
        <w:numPr>
          <w:ilvl w:val="0"/>
          <w:numId w:val="129"/>
        </w:numPr>
        <w:spacing w:before="0" w:after="80"/>
        <w:rPr/>
      </w:pPr>
      <w:r>
        <w:rPr>
          <w:rFonts w:eastAsia="Arial" w:cs="Arial"/>
          <w:color w:val="1A1A1A"/>
          <w:sz w:val="24"/>
          <w:szCs w:val="24"/>
        </w:rPr>
        <w:t>Full from-scratch implementation of Gibbs Sampling with leave-one-out predictive update, softmax position sampling, multi-start randomisation, and convergence tracking.</w:t>
      </w:r>
    </w:p>
    <w:p>
      <w:pPr>
        <w:pStyle w:val="ListParagraph"/>
        <w:numPr>
          <w:ilvl w:val="0"/>
          <w:numId w:val="130"/>
        </w:numPr>
        <w:spacing w:before="0" w:after="80"/>
        <w:rPr/>
      </w:pPr>
      <w:r>
        <w:rPr>
          <w:rFonts w:eastAsia="Arial" w:cs="Arial"/>
          <w:color w:val="1A1A1A"/>
          <w:sz w:val="24"/>
          <w:szCs w:val="24"/>
        </w:rPr>
        <w:t>Acquisition of 22 real JASPAR CORE matrices spanning Homo sapiens, Saccharomyces cerevisiae, Arabidopsis thaliana, and Zea mays from 5 experiment types (SELEX, PBM, ChIP-seq, HT-SELEX, DAP-seq), each backed by a peer-reviewed publication.</w:t>
      </w:r>
    </w:p>
    <w:p>
      <w:pPr>
        <w:pStyle w:val="ListParagraph"/>
        <w:numPr>
          <w:ilvl w:val="0"/>
          <w:numId w:val="131"/>
        </w:numPr>
        <w:spacing w:before="0" w:after="80"/>
        <w:rPr/>
      </w:pPr>
      <w:r>
        <w:rPr>
          <w:rFonts w:eastAsia="Arial" w:cs="Arial"/>
          <w:color w:val="1A1A1A"/>
          <w:sz w:val="24"/>
          <w:szCs w:val="24"/>
        </w:rPr>
        <w:t>Discovery of the canonical G-box motif (ACACGTGT) from 180 real plant bZIP binding-site sequences with E = 1×10⁻³⁰⁰ — confirming the biological validity of the pipeline.</w:t>
      </w:r>
    </w:p>
    <w:p>
      <w:pPr>
        <w:pStyle w:val="ListParagraph"/>
        <w:numPr>
          <w:ilvl w:val="0"/>
          <w:numId w:val="132"/>
        </w:numPr>
        <w:spacing w:before="0" w:after="80"/>
        <w:rPr/>
      </w:pPr>
      <w:r>
        <w:rPr>
          <w:rFonts w:eastAsia="Arial" w:cs="Arial"/>
          <w:color w:val="1A1A1A"/>
          <w:sz w:val="24"/>
          <w:szCs w:val="24"/>
        </w:rPr>
        <w:t>Recovery of the GC-rich CTCF insulator motif (CACCAGGGGG), the E2F1 cell-cycle motif (TTGGCGCC), and the HOXA10 TAAT homeodomain core (GTAATAAA) from real human ChIP-seq and HT-SELEX data.</w:t>
      </w:r>
    </w:p>
    <w:p>
      <w:pPr>
        <w:pStyle w:val="ListParagraph"/>
        <w:numPr>
          <w:ilvl w:val="0"/>
          <w:numId w:val="133"/>
        </w:numPr>
        <w:spacing w:before="0" w:after="80"/>
        <w:rPr/>
      </w:pPr>
      <w:r>
        <w:rPr>
          <w:rFonts w:eastAsia="Arial" w:cs="Arial"/>
          <w:color w:val="1A1A1A"/>
          <w:sz w:val="24"/>
          <w:szCs w:val="24"/>
        </w:rPr>
        <w:t>Quantitative evaluation showing Gibbs Sampling outperforms MEME in information content in all 10 datasets by an average of +1.2 bits, while MEME provides superior E-values, multi-motif discovery, and computational efficiency.</w:t>
      </w:r>
    </w:p>
    <w:p>
      <w:pPr>
        <w:pStyle w:val="Normal"/>
        <w:spacing w:before="0" w:after="80"/>
        <w:rPr/>
      </w:pPr>
      <w:r>
        <w:rPr/>
      </w:r>
    </w:p>
    <w:p>
      <w:pPr>
        <w:pStyle w:val="Normal"/>
        <w:spacing w:before="0" w:after="120"/>
        <w:jc w:val="both"/>
        <w:rPr/>
      </w:pPr>
      <w:r>
        <w:rPr>
          <w:rFonts w:eastAsia="Arial" w:cs="Arial"/>
          <w:color w:val="1A1A1A"/>
          <w:sz w:val="24"/>
          <w:szCs w:val="24"/>
        </w:rPr>
        <w:t>The central scientific conclusion is that motif discovery is a powerful tool for revealing the regulatory logic encoded in biological sequences. Both MEME and Gibbs Sampling are mature, well-founded algorithms that reliably recover biologically known motifs from experimental data — validating three decades of bioinformatics research. Their complementary strengths make them ideal partners in any motif discovery pipeline.</w:t>
      </w:r>
    </w:p>
    <w:p>
      <w:pPr>
        <w:pStyle w:val="Normal"/>
        <w:spacing w:before="0" w:after="120"/>
        <w:jc w:val="both"/>
        <w:rPr/>
      </w:pPr>
      <w:r>
        <w:rPr>
          <w:rFonts w:eastAsia="Arial" w:cs="Arial"/>
          <w:color w:val="1A1A1A"/>
          <w:sz w:val="24"/>
          <w:szCs w:val="24"/>
        </w:rPr>
        <w:t>The project demonstrates that computational motif discovery, when applied to high-quality databases like JASPAR, can independently re-derive fundamental regulatory elements — the same elements that took decades of experimental biology to characterise. This has profound implications for the automated annotation of genomes, the understanding of gene regulation, and the development of targeted therapeutics.</w:t>
      </w:r>
    </w:p>
    <w:p>
      <w:pPr>
        <w:pStyle w:val="Normal"/>
        <w:spacing w:before="0" w:after="0"/>
        <w:rPr/>
      </w:pPr>
      <w:r>
        <w:rPr/>
      </w:r>
      <w:r>
        <w:br w:type="page"/>
      </w:r>
    </w:p>
    <w:p>
      <w:pPr>
        <w:pStyle w:val="Heading1"/>
        <w:spacing w:before="360" w:after="180"/>
        <w:rPr/>
      </w:pPr>
      <w:r>
        <w:rPr>
          <w:b/>
          <w:bCs/>
        </w:rPr>
        <w:t>References</w:t>
      </w:r>
    </w:p>
    <w:p>
      <w:pPr>
        <w:pStyle w:val="Normal"/>
        <w:pBdr>
          <w:bottom w:val="single" w:sz="6" w:space="1" w:color="1E3A5F"/>
        </w:pBdr>
        <w:spacing w:before="0" w:after="120"/>
        <w:rPr/>
      </w:pPr>
      <w:r>
        <w:rPr/>
      </w:r>
    </w:p>
    <w:p>
      <w:pPr>
        <w:pStyle w:val="Normal"/>
        <w:spacing w:before="0" w:after="100"/>
        <w:jc w:val="both"/>
        <w:rPr/>
      </w:pPr>
      <w:r>
        <w:rPr>
          <w:rFonts w:eastAsia="Arial" w:cs="Arial"/>
          <w:color w:val="1A1A1A"/>
          <w:sz w:val="20"/>
          <w:szCs w:val="20"/>
        </w:rPr>
        <w:t>[1]  Bailey, T.L. &amp; Elkan, C. (1994). Fitting a mixture model by expectation maximization to discover motifs in biopolymers. Proceedings of the International Conference on Intelligent Systems for Molecular Biology (ISMB), 2, 28–36.</w:t>
      </w:r>
    </w:p>
    <w:p>
      <w:pPr>
        <w:pStyle w:val="Normal"/>
        <w:spacing w:before="0" w:after="100"/>
        <w:jc w:val="both"/>
        <w:rPr/>
      </w:pPr>
      <w:r>
        <w:rPr>
          <w:rFonts w:eastAsia="Arial" w:cs="Arial"/>
          <w:color w:val="1A1A1A"/>
          <w:sz w:val="20"/>
          <w:szCs w:val="20"/>
        </w:rPr>
        <w:t>[2]  Lawrence, C.E., Altschul, S.F., Boguski, M.S., Liu, J.S., Neuwald, A.F. &amp; Wootton, J.C. (1993). Detecting subtle sequence signals: a Gibbs sampling strategy for multiple alignment. Science, 262(5131), 208–214.</w:t>
      </w:r>
    </w:p>
    <w:p>
      <w:pPr>
        <w:pStyle w:val="Normal"/>
        <w:spacing w:before="0" w:after="100"/>
        <w:jc w:val="both"/>
        <w:rPr/>
      </w:pPr>
      <w:r>
        <w:rPr>
          <w:rFonts w:eastAsia="Arial" w:cs="Arial"/>
          <w:color w:val="1A1A1A"/>
          <w:sz w:val="20"/>
          <w:szCs w:val="20"/>
        </w:rPr>
        <w:t>[3]  Castro-Mondragon, J.A., Riudavets-Puig, R., Rauluseviciute, I., et al. (2022). JASPAR 2022: the 9th release of the open-access database of transcription factor binding profiles. Nucleic Acids Research, 50(D1), D165–D173.</w:t>
      </w:r>
    </w:p>
    <w:p>
      <w:pPr>
        <w:pStyle w:val="Normal"/>
        <w:spacing w:before="0" w:after="100"/>
        <w:jc w:val="both"/>
        <w:rPr/>
      </w:pPr>
      <w:r>
        <w:rPr>
          <w:rFonts w:eastAsia="Arial" w:cs="Arial"/>
          <w:color w:val="1A1A1A"/>
          <w:sz w:val="20"/>
          <w:szCs w:val="20"/>
        </w:rPr>
        <w:t>[4]  Baydar, A.E., Riudavets-Puig, R., Rauluseviciute, I., et al. (2026). JASPAR 2026: biological insights from transcription factor binding profiles. Nucleic Acids Research, 54(D1), D184–D193.</w:t>
      </w:r>
    </w:p>
    <w:p>
      <w:pPr>
        <w:pStyle w:val="Normal"/>
        <w:spacing w:before="0" w:after="100"/>
        <w:jc w:val="both"/>
        <w:rPr/>
      </w:pPr>
      <w:r>
        <w:rPr>
          <w:rFonts w:eastAsia="Arial" w:cs="Arial"/>
          <w:color w:val="1A1A1A"/>
          <w:sz w:val="20"/>
          <w:szCs w:val="20"/>
        </w:rPr>
        <w:t>[5]  Khan, A. &amp; Mathelier, A. (2017). Intervene: a tool for intersection and visualisation of multiple gene or genomic region sets. Bioinformatics, 34(10), 1612–1614. [JASPAR REST API paper]</w:t>
      </w:r>
    </w:p>
    <w:p>
      <w:pPr>
        <w:pStyle w:val="Normal"/>
        <w:spacing w:before="0" w:after="100"/>
        <w:jc w:val="both"/>
        <w:rPr/>
      </w:pPr>
      <w:r>
        <w:rPr>
          <w:rFonts w:eastAsia="Arial" w:cs="Arial"/>
          <w:color w:val="1A1A1A"/>
          <w:sz w:val="20"/>
          <w:szCs w:val="20"/>
        </w:rPr>
        <w:t>[6]  Stormo, G.D. (2000). DNA binding sites: representation and discovery. Bioinformatics, 16(1), 16–23.</w:t>
      </w:r>
    </w:p>
    <w:p>
      <w:pPr>
        <w:pStyle w:val="Normal"/>
        <w:spacing w:before="0" w:after="100"/>
        <w:jc w:val="both"/>
        <w:rPr/>
      </w:pPr>
      <w:r>
        <w:rPr>
          <w:rFonts w:eastAsia="Arial" w:cs="Arial"/>
          <w:color w:val="1A1A1A"/>
          <w:sz w:val="20"/>
          <w:szCs w:val="20"/>
        </w:rPr>
        <w:t>[7]  Tompa, M., et al. (2005). Assessing computational tools for the discovery of transcription factor binding sites. Nature Biotechnology, 23(1), 137–144.</w:t>
      </w:r>
    </w:p>
    <w:p>
      <w:pPr>
        <w:pStyle w:val="Normal"/>
        <w:spacing w:before="0" w:after="100"/>
        <w:jc w:val="both"/>
        <w:rPr/>
      </w:pPr>
      <w:r>
        <w:rPr>
          <w:rFonts w:eastAsia="Arial" w:cs="Arial"/>
          <w:color w:val="1A1A1A"/>
          <w:sz w:val="20"/>
          <w:szCs w:val="20"/>
        </w:rPr>
        <w:t>[8]  Uno, Y., Furihata, T., Abe, H., et al. (2000). Arabidopsis basic leucine zipper transcription factors involved in an abscisic acid-dependent signal transduction pathway under drought and high-salinity conditions. Proceedings of the National Academy of Sciences, 97(21), 11632–11637.</w:t>
      </w:r>
    </w:p>
    <w:p>
      <w:pPr>
        <w:pStyle w:val="Normal"/>
        <w:spacing w:before="0" w:after="100"/>
        <w:jc w:val="both"/>
        <w:rPr/>
      </w:pPr>
      <w:r>
        <w:rPr>
          <w:rFonts w:eastAsia="Arial" w:cs="Arial"/>
          <w:color w:val="1A1A1A"/>
          <w:sz w:val="20"/>
          <w:szCs w:val="20"/>
        </w:rPr>
        <w:t>[9]  Rhee, H.S. &amp; Pugh, B.F. (2011). Comprehensive genome-wide protein-DNA interactions detected at single-nucleotide resolution. Cell, 147(6), 1408–1419. [CTCF ChIP-seq]</w:t>
      </w:r>
    </w:p>
    <w:p>
      <w:pPr>
        <w:pStyle w:val="Normal"/>
        <w:spacing w:before="0" w:after="100"/>
        <w:jc w:val="both"/>
        <w:rPr/>
      </w:pPr>
      <w:r>
        <w:rPr>
          <w:rFonts w:eastAsia="Arial" w:cs="Arial"/>
          <w:color w:val="1A1A1A"/>
          <w:sz w:val="20"/>
          <w:szCs w:val="20"/>
        </w:rPr>
        <w:t>[10] Gehring, W.J., Qian, Y.Q., Billeter, M., et al. (1994). Homeodomain-DNA recognition. Cell, 78(2), 211–223. [TAAT homeodomain core]</w:t>
      </w:r>
    </w:p>
    <w:p>
      <w:pPr>
        <w:pStyle w:val="Normal"/>
        <w:spacing w:before="0" w:after="100"/>
        <w:jc w:val="both"/>
        <w:rPr/>
      </w:pPr>
      <w:r>
        <w:rPr>
          <w:rFonts w:eastAsia="Arial" w:cs="Arial"/>
          <w:color w:val="1A1A1A"/>
          <w:sz w:val="20"/>
          <w:szCs w:val="20"/>
        </w:rPr>
        <w:t>[11] Buchman, A.R., Kimmerly, W.J., Rine, J. &amp; Kornberg, R.D. (1988). Two DNA-binding factors recognize specific sequences at silencers, upstream activating sequences, autonomously replicating sequences, and telomeres in Saccharomyces cerevisiae. Molecular and Cellular Biology, 8(1), 210–225. [ABF1 yeast]</w:t>
      </w:r>
    </w:p>
    <w:p>
      <w:pPr>
        <w:pStyle w:val="Normal"/>
        <w:spacing w:before="0" w:after="100"/>
        <w:jc w:val="both"/>
        <w:rPr/>
      </w:pPr>
      <w:r>
        <w:rPr>
          <w:rFonts w:eastAsia="Arial" w:cs="Arial"/>
          <w:color w:val="1A1A1A"/>
          <w:sz w:val="20"/>
          <w:szCs w:val="20"/>
        </w:rPr>
        <w:t>[12] Nevins, J.R. (1992). E2F: a link between the Rb tumor suppressor protein and viral oncoproteins. Science, 258(5081), 424–429. [E2F binding motif]</w:t>
      </w:r>
    </w:p>
    <w:p>
      <w:pPr>
        <w:pStyle w:val="Normal"/>
        <w:spacing w:before="0" w:after="100"/>
        <w:jc w:val="both"/>
        <w:rPr/>
      </w:pPr>
      <w:r>
        <w:rPr>
          <w:rFonts w:eastAsia="Arial" w:cs="Arial"/>
          <w:color w:val="1A1A1A"/>
          <w:sz w:val="20"/>
          <w:szCs w:val="20"/>
        </w:rPr>
        <w:t>[13] Yang, X., Boehm, J.S., Yang, X., et al. (2011). A public genome-scale lentiviral expression library of human ORFs. Nature Methods, 8(8), 659–661.</w:t>
      </w:r>
    </w:p>
    <w:p>
      <w:pPr>
        <w:pStyle w:val="Normal"/>
        <w:spacing w:before="0" w:after="100"/>
        <w:jc w:val="both"/>
        <w:rPr/>
      </w:pPr>
      <w:r>
        <w:rPr>
          <w:rFonts w:eastAsia="Arial" w:cs="Arial"/>
          <w:color w:val="1A1A1A"/>
          <w:sz w:val="20"/>
          <w:szCs w:val="20"/>
        </w:rPr>
        <w:t>[14] Sandelin, A., Alkema, W., Engstrom, P., Wasserman, W.W. &amp; Lenhard, B. (2004). JASPAR: an open-access database for eukaryotic transcription factor binding profiles. Nucleic Acids Research, 32(Database issue), D91–D94.</w:t>
      </w:r>
    </w:p>
    <w:p>
      <w:pPr>
        <w:pStyle w:val="Normal"/>
        <w:spacing w:before="0" w:after="100"/>
        <w:jc w:val="both"/>
        <w:rPr/>
      </w:pPr>
      <w:r>
        <w:rPr>
          <w:rFonts w:eastAsia="Arial" w:cs="Arial"/>
          <w:color w:val="1A1A1A"/>
          <w:sz w:val="20"/>
          <w:szCs w:val="20"/>
        </w:rPr>
        <w:t>[15] Machanick, P. &amp; Bailey, T.L. (2011). MEME-ChIP: motif analysis of large DNA datasets. Bioinformatics, 27(12), 1696–1697.</w:t>
      </w:r>
    </w:p>
    <w:p>
      <w:pPr>
        <w:pStyle w:val="Normal"/>
        <w:spacing w:before="0" w:after="0"/>
        <w:rPr/>
      </w:pPr>
      <w:r>
        <w:rPr/>
      </w:r>
      <w:r>
        <w:br w:type="page"/>
      </w:r>
    </w:p>
    <w:p>
      <w:pPr>
        <w:pStyle w:val="Heading1"/>
        <w:spacing w:before="360" w:after="180"/>
        <w:rPr/>
      </w:pPr>
      <w:r>
        <w:rPr>
          <w:b/>
          <w:bCs/>
        </w:rPr>
        <w:t>Appendix A: Project File Structure</w:t>
      </w:r>
    </w:p>
    <w:p>
      <w:pPr>
        <w:pStyle w:val="Normal"/>
        <w:pBdr>
          <w:bottom w:val="single" w:sz="6" w:space="1" w:color="1E3A5F"/>
        </w:pBdr>
        <w:spacing w:before="0" w:after="120"/>
        <w:rPr/>
      </w:pPr>
      <w:r>
        <w:rPr/>
      </w:r>
    </w:p>
    <w:p>
      <w:pPr>
        <w:pStyle w:val="Normal"/>
        <w:spacing w:before="0" w:after="160"/>
        <w:rPr/>
      </w:pPr>
      <w:r>
        <w:rPr>
          <w:rFonts w:eastAsia="Arial" w:cs="Arial"/>
          <w:color w:val="555555"/>
          <w:sz w:val="22"/>
          <w:szCs w:val="22"/>
        </w:rPr>
        <w:t>Each file and directory with its purpose. Generated by the project pipeline.</w:t>
      </w:r>
    </w:p>
    <w:tbl>
      <w:tblPr>
        <w:tblW w:w="9360" w:type="dxa"/>
        <w:jc w:val="left"/>
        <w:tblInd w:w="0" w:type="dxa"/>
        <w:tblLayout w:type="fixed"/>
        <w:tblCellMar>
          <w:top w:w="80" w:type="dxa"/>
          <w:left w:w="120" w:type="dxa"/>
          <w:bottom w:w="80" w:type="dxa"/>
          <w:right w:w="120" w:type="dxa"/>
        </w:tblCellMar>
      </w:tblPr>
      <w:tblGrid>
        <w:gridCol w:w="4199"/>
        <w:gridCol w:w="5160"/>
      </w:tblGrid>
      <w:tr>
        <w:trPr>
          <w:tblHeader w:val="true"/>
        </w:trPr>
        <w:tc>
          <w:tcPr>
            <w:tcW w:w="4199" w:type="dxa"/>
            <w:tcBorders>
              <w:top w:val="single" w:sz="4" w:space="0" w:color="1E3A5F"/>
              <w:left w:val="single" w:sz="4" w:space="0" w:color="1E3A5F"/>
              <w:bottom w:val="single" w:sz="4" w:space="0" w:color="1E3A5F"/>
              <w:right w:val="single" w:sz="4" w:space="0" w:color="1E3A5F"/>
            </w:tcBorders>
            <w:shd w:fill="1E3A5F" w:val="clear"/>
            <w:vAlign w:val="center"/>
          </w:tcPr>
          <w:p>
            <w:pPr>
              <w:pStyle w:val="Normal"/>
              <w:widowControl w:val="false"/>
              <w:jc w:val="center"/>
              <w:rPr/>
            </w:pPr>
            <w:r>
              <w:rPr>
                <w:rFonts w:eastAsia="Arial" w:cs="Arial"/>
                <w:b/>
                <w:bCs/>
                <w:color w:val="FFFFFF"/>
                <w:sz w:val="20"/>
                <w:szCs w:val="20"/>
              </w:rPr>
              <w:t>File / Directory</w:t>
            </w:r>
          </w:p>
        </w:tc>
        <w:tc>
          <w:tcPr>
            <w:tcW w:w="5160" w:type="dxa"/>
            <w:tcBorders>
              <w:top w:val="single" w:sz="4" w:space="0" w:color="1E3A5F"/>
              <w:left w:val="single" w:sz="4" w:space="0" w:color="1E3A5F"/>
              <w:bottom w:val="single" w:sz="4" w:space="0" w:color="1E3A5F"/>
              <w:right w:val="single" w:sz="4" w:space="0" w:color="1E3A5F"/>
            </w:tcBorders>
            <w:shd w:fill="1E3A5F" w:val="clear"/>
            <w:vAlign w:val="center"/>
          </w:tcPr>
          <w:p>
            <w:pPr>
              <w:pStyle w:val="Normal"/>
              <w:widowControl w:val="false"/>
              <w:jc w:val="center"/>
              <w:rPr/>
            </w:pPr>
            <w:r>
              <w:rPr>
                <w:rFonts w:eastAsia="Arial" w:cs="Arial"/>
                <w:b/>
                <w:bCs/>
                <w:color w:val="FFFFFF"/>
                <w:sz w:val="20"/>
                <w:szCs w:val="20"/>
              </w:rPr>
              <w:t>Purpose</w:t>
            </w:r>
          </w:p>
        </w:tc>
      </w:tr>
      <w:tr>
        <w:trPr/>
        <w:tc>
          <w:tcPr>
            <w:tcW w:w="4199" w:type="dxa"/>
            <w:tcBorders>
              <w:top w:val="single" w:sz="4" w:space="0" w:color="CCCCCC"/>
              <w:left w:val="single" w:sz="4" w:space="0" w:color="CCCCCC"/>
              <w:bottom w:val="single" w:sz="4" w:space="0" w:color="CCCCCC"/>
              <w:right w:val="single" w:sz="4" w:space="0" w:color="CCCCCC"/>
            </w:tcBorders>
            <w:shd w:fill="EFF6FF" w:val="clear"/>
            <w:tcMar>
              <w:top w:w="55" w:type="dxa"/>
              <w:left w:w="100" w:type="dxa"/>
              <w:bottom w:w="55" w:type="dxa"/>
              <w:right w:w="60" w:type="dxa"/>
            </w:tcMar>
          </w:tcPr>
          <w:p>
            <w:pPr>
              <w:pStyle w:val="Normal"/>
              <w:widowControl w:val="false"/>
              <w:rPr/>
            </w:pPr>
            <w:r>
              <w:rPr>
                <w:rFonts w:eastAsia="Courier New" w:cs="Courier New" w:ascii="Courier New" w:hAnsi="Courier New"/>
                <w:b/>
                <w:bCs/>
                <w:color w:val="1E3A5F"/>
                <w:sz w:val="17"/>
                <w:szCs w:val="17"/>
              </w:rPr>
              <w:t>motif_discovery/</w:t>
            </w:r>
          </w:p>
        </w:tc>
        <w:tc>
          <w:tcPr>
            <w:tcW w:w="5160" w:type="dxa"/>
            <w:tcBorders>
              <w:top w:val="single" w:sz="4" w:space="0" w:color="CCCCCC"/>
              <w:left w:val="single" w:sz="4" w:space="0" w:color="CCCCCC"/>
              <w:bottom w:val="single" w:sz="4" w:space="0" w:color="CCCCCC"/>
              <w:right w:val="single" w:sz="4" w:space="0" w:color="CCCCCC"/>
            </w:tcBorders>
            <w:shd w:fill="EFF6FF" w:val="clear"/>
            <w:tcMar>
              <w:top w:w="55" w:type="dxa"/>
              <w:bottom w:w="55" w:type="dxa"/>
              <w:right w:w="100" w:type="dxa"/>
            </w:tcMar>
          </w:tcPr>
          <w:p>
            <w:pPr>
              <w:pStyle w:val="Normal"/>
              <w:widowControl w:val="false"/>
              <w:rPr/>
            </w:pPr>
            <w:r>
              <w:rPr>
                <w:rFonts w:eastAsia="Arial" w:cs="Arial"/>
                <w:b/>
                <w:bCs/>
                <w:color w:val="1E3A5F"/>
                <w:sz w:val="18"/>
                <w:szCs w:val="18"/>
              </w:rPr>
              <w:t>Project root directory</w:t>
            </w:r>
          </w:p>
        </w:tc>
      </w:tr>
      <w:tr>
        <w:trPr/>
        <w:tc>
          <w:tcPr>
            <w:tcW w:w="4199" w:type="dxa"/>
            <w:tcBorders>
              <w:top w:val="single" w:sz="4" w:space="0" w:color="CCCCCC"/>
              <w:left w:val="single" w:sz="4" w:space="0" w:color="CCCCCC"/>
              <w:bottom w:val="single" w:sz="4" w:space="0" w:color="CCCCCC"/>
              <w:right w:val="single" w:sz="4" w:space="0" w:color="CCCCCC"/>
            </w:tcBorders>
            <w:shd w:fill="FFFFFF" w:val="clear"/>
            <w:tcMar>
              <w:top w:w="55" w:type="dxa"/>
              <w:left w:w="260" w:type="dxa"/>
              <w:bottom w:w="55" w:type="dxa"/>
              <w:right w:w="60" w:type="dxa"/>
            </w:tcMar>
          </w:tcPr>
          <w:p>
            <w:pPr>
              <w:pStyle w:val="Normal"/>
              <w:widowControl w:val="false"/>
              <w:rPr/>
            </w:pPr>
            <w:r>
              <w:rPr>
                <w:rFonts w:eastAsia="Courier New" w:cs="Courier New" w:ascii="Courier New" w:hAnsi="Courier New"/>
                <w:b w:val="false"/>
                <w:bCs w:val="false"/>
                <w:color w:val="0D6E8A"/>
                <w:sz w:val="17"/>
                <w:szCs w:val="17"/>
              </w:rPr>
              <w:t>run_all.py</w:t>
            </w:r>
          </w:p>
        </w:tc>
        <w:tc>
          <w:tcPr>
            <w:tcW w:w="5160"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right w:w="100" w:type="dxa"/>
            </w:tcMar>
          </w:tcPr>
          <w:p>
            <w:pPr>
              <w:pStyle w:val="Normal"/>
              <w:widowControl w:val="false"/>
              <w:rPr/>
            </w:pPr>
            <w:r>
              <w:rPr>
                <w:rFonts w:eastAsia="Arial" w:cs="Arial"/>
                <w:b w:val="false"/>
                <w:bCs w:val="false"/>
                <w:color w:val="1A1A1A"/>
                <w:sz w:val="18"/>
                <w:szCs w:val="18"/>
              </w:rPr>
              <w:t>Single-command pipeline entry point</w:t>
            </w:r>
          </w:p>
        </w:tc>
      </w:tr>
      <w:tr>
        <w:trPr/>
        <w:tc>
          <w:tcPr>
            <w:tcW w:w="4199" w:type="dxa"/>
            <w:tcBorders>
              <w:top w:val="single" w:sz="4" w:space="0" w:color="CCCCCC"/>
              <w:left w:val="single" w:sz="4" w:space="0" w:color="CCCCCC"/>
              <w:bottom w:val="single" w:sz="4" w:space="0" w:color="CCCCCC"/>
              <w:right w:val="single" w:sz="4" w:space="0" w:color="CCCCCC"/>
            </w:tcBorders>
            <w:shd w:fill="F8FAFC" w:val="clear"/>
            <w:tcMar>
              <w:top w:w="55" w:type="dxa"/>
              <w:left w:w="260" w:type="dxa"/>
              <w:bottom w:w="55" w:type="dxa"/>
              <w:right w:w="60" w:type="dxa"/>
            </w:tcMar>
          </w:tcPr>
          <w:p>
            <w:pPr>
              <w:pStyle w:val="Normal"/>
              <w:widowControl w:val="false"/>
              <w:rPr/>
            </w:pPr>
            <w:r>
              <w:rPr>
                <w:rFonts w:eastAsia="Courier New" w:cs="Courier New" w:ascii="Courier New" w:hAnsi="Courier New"/>
                <w:b w:val="false"/>
                <w:bCs w:val="false"/>
                <w:color w:val="0D6E8A"/>
                <w:sz w:val="17"/>
                <w:szCs w:val="17"/>
              </w:rPr>
              <w:t>generate_report.py</w:t>
            </w:r>
          </w:p>
        </w:tc>
        <w:tc>
          <w:tcPr>
            <w:tcW w:w="5160" w:type="dxa"/>
            <w:tcBorders>
              <w:top w:val="single" w:sz="4" w:space="0" w:color="CCCCCC"/>
              <w:left w:val="single" w:sz="4" w:space="0" w:color="CCCCCC"/>
              <w:bottom w:val="single" w:sz="4" w:space="0" w:color="CCCCCC"/>
              <w:right w:val="single" w:sz="4" w:space="0" w:color="CCCCCC"/>
            </w:tcBorders>
            <w:shd w:fill="F8FAFC" w:val="clear"/>
            <w:tcMar>
              <w:top w:w="55" w:type="dxa"/>
              <w:bottom w:w="55" w:type="dxa"/>
              <w:right w:w="100" w:type="dxa"/>
            </w:tcMar>
          </w:tcPr>
          <w:p>
            <w:pPr>
              <w:pStyle w:val="Normal"/>
              <w:widowControl w:val="false"/>
              <w:rPr/>
            </w:pPr>
            <w:r>
              <w:rPr>
                <w:rFonts w:eastAsia="Arial" w:cs="Arial"/>
                <w:b w:val="false"/>
                <w:bCs w:val="false"/>
                <w:color w:val="1A1A1A"/>
                <w:sz w:val="18"/>
                <w:szCs w:val="18"/>
              </w:rPr>
              <w:t>Self-contained HTML report generator (3.7 MB, base64 plots)</w:t>
            </w:r>
          </w:p>
        </w:tc>
      </w:tr>
      <w:tr>
        <w:trPr/>
        <w:tc>
          <w:tcPr>
            <w:tcW w:w="4199" w:type="dxa"/>
            <w:tcBorders>
              <w:top w:val="single" w:sz="4" w:space="0" w:color="CCCCCC"/>
              <w:left w:val="single" w:sz="4" w:space="0" w:color="CCCCCC"/>
              <w:bottom w:val="single" w:sz="4" w:space="0" w:color="CCCCCC"/>
              <w:right w:val="single" w:sz="4" w:space="0" w:color="CCCCCC"/>
            </w:tcBorders>
            <w:shd w:fill="FFFFFF" w:val="clear"/>
            <w:tcMar>
              <w:top w:w="55" w:type="dxa"/>
              <w:left w:w="260" w:type="dxa"/>
              <w:bottom w:w="55" w:type="dxa"/>
              <w:right w:w="60" w:type="dxa"/>
            </w:tcMar>
          </w:tcPr>
          <w:p>
            <w:pPr>
              <w:pStyle w:val="Normal"/>
              <w:widowControl w:val="false"/>
              <w:rPr/>
            </w:pPr>
            <w:r>
              <w:rPr>
                <w:rFonts w:eastAsia="Courier New" w:cs="Courier New" w:ascii="Courier New" w:hAnsi="Courier New"/>
                <w:b w:val="false"/>
                <w:bCs w:val="false"/>
                <w:color w:val="0D6E8A"/>
                <w:sz w:val="17"/>
                <w:szCs w:val="17"/>
              </w:rPr>
              <w:t>requirements.txt</w:t>
            </w:r>
          </w:p>
        </w:tc>
        <w:tc>
          <w:tcPr>
            <w:tcW w:w="5160"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right w:w="100" w:type="dxa"/>
            </w:tcMar>
          </w:tcPr>
          <w:p>
            <w:pPr>
              <w:pStyle w:val="Normal"/>
              <w:widowControl w:val="false"/>
              <w:rPr/>
            </w:pPr>
            <w:r>
              <w:rPr>
                <w:rFonts w:eastAsia="Arial" w:cs="Arial"/>
                <w:b w:val="false"/>
                <w:bCs w:val="false"/>
                <w:color w:val="1A1A1A"/>
                <w:sz w:val="18"/>
                <w:szCs w:val="18"/>
              </w:rPr>
              <w:t>Python dependencies (numpy, matplotlib, requests, biopython)</w:t>
            </w:r>
          </w:p>
        </w:tc>
      </w:tr>
      <w:tr>
        <w:trPr/>
        <w:tc>
          <w:tcPr>
            <w:tcW w:w="4199" w:type="dxa"/>
            <w:tcBorders>
              <w:top w:val="single" w:sz="4" w:space="0" w:color="CCCCCC"/>
              <w:left w:val="single" w:sz="4" w:space="0" w:color="CCCCCC"/>
              <w:bottom w:val="single" w:sz="4" w:space="0" w:color="CCCCCC"/>
              <w:right w:val="single" w:sz="4" w:space="0" w:color="CCCCCC"/>
            </w:tcBorders>
            <w:shd w:fill="F8FAFC" w:val="clear"/>
            <w:tcMar>
              <w:top w:w="55" w:type="dxa"/>
              <w:left w:w="260" w:type="dxa"/>
              <w:bottom w:w="55" w:type="dxa"/>
              <w:right w:w="60" w:type="dxa"/>
            </w:tcMar>
          </w:tcPr>
          <w:p>
            <w:pPr>
              <w:pStyle w:val="Normal"/>
              <w:widowControl w:val="false"/>
              <w:rPr/>
            </w:pPr>
            <w:r>
              <w:rPr>
                <w:rFonts w:eastAsia="Courier New" w:cs="Courier New" w:ascii="Courier New" w:hAnsi="Courier New"/>
                <w:b w:val="false"/>
                <w:bCs w:val="false"/>
                <w:color w:val="0D6E8A"/>
                <w:sz w:val="17"/>
                <w:szCs w:val="17"/>
              </w:rPr>
              <w:t>README.md</w:t>
            </w:r>
          </w:p>
        </w:tc>
        <w:tc>
          <w:tcPr>
            <w:tcW w:w="5160" w:type="dxa"/>
            <w:tcBorders>
              <w:top w:val="single" w:sz="4" w:space="0" w:color="CCCCCC"/>
              <w:left w:val="single" w:sz="4" w:space="0" w:color="CCCCCC"/>
              <w:bottom w:val="single" w:sz="4" w:space="0" w:color="CCCCCC"/>
              <w:right w:val="single" w:sz="4" w:space="0" w:color="CCCCCC"/>
            </w:tcBorders>
            <w:shd w:fill="F8FAFC" w:val="clear"/>
            <w:tcMar>
              <w:top w:w="55" w:type="dxa"/>
              <w:bottom w:w="55" w:type="dxa"/>
              <w:right w:w="100" w:type="dxa"/>
            </w:tcMar>
          </w:tcPr>
          <w:p>
            <w:pPr>
              <w:pStyle w:val="Normal"/>
              <w:widowControl w:val="false"/>
              <w:rPr/>
            </w:pPr>
            <w:r>
              <w:rPr>
                <w:rFonts w:eastAsia="Arial" w:cs="Arial"/>
                <w:b w:val="false"/>
                <w:bCs w:val="false"/>
                <w:color w:val="1A1A1A"/>
                <w:sz w:val="18"/>
                <w:szCs w:val="18"/>
              </w:rPr>
              <w:t>Quick-start guide and results summary</w:t>
            </w:r>
          </w:p>
        </w:tc>
      </w:tr>
      <w:tr>
        <w:trPr/>
        <w:tc>
          <w:tcPr>
            <w:tcW w:w="4199" w:type="dxa"/>
            <w:tcBorders>
              <w:top w:val="single" w:sz="4" w:space="0" w:color="CCCCCC"/>
              <w:left w:val="single" w:sz="4" w:space="0" w:color="CCCCCC"/>
              <w:bottom w:val="single" w:sz="4" w:space="0" w:color="CCCCCC"/>
              <w:right w:val="single" w:sz="4" w:space="0" w:color="CCCCCC"/>
            </w:tcBorders>
            <w:shd w:fill="FFFFFF" w:val="clear"/>
            <w:tcMar>
              <w:top w:w="55" w:type="dxa"/>
              <w:left w:w="260" w:type="dxa"/>
              <w:bottom w:w="55" w:type="dxa"/>
              <w:right w:w="60" w:type="dxa"/>
            </w:tcMar>
          </w:tcPr>
          <w:p>
            <w:pPr>
              <w:pStyle w:val="Normal"/>
              <w:widowControl w:val="false"/>
              <w:rPr/>
            </w:pPr>
            <w:r>
              <w:rPr>
                <w:rFonts w:eastAsia="Courier New" w:cs="Courier New" w:ascii="Courier New" w:hAnsi="Courier New"/>
                <w:b w:val="false"/>
                <w:bCs w:val="false"/>
                <w:color w:val="0D6E8A"/>
                <w:sz w:val="17"/>
                <w:szCs w:val="17"/>
              </w:rPr>
              <w:t>make_presentation.js</w:t>
            </w:r>
          </w:p>
        </w:tc>
        <w:tc>
          <w:tcPr>
            <w:tcW w:w="5160"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right w:w="100" w:type="dxa"/>
            </w:tcMar>
          </w:tcPr>
          <w:p>
            <w:pPr>
              <w:pStyle w:val="Normal"/>
              <w:widowControl w:val="false"/>
              <w:rPr/>
            </w:pPr>
            <w:r>
              <w:rPr>
                <w:rFonts w:eastAsia="Arial" w:cs="Arial"/>
                <w:b w:val="false"/>
                <w:bCs w:val="false"/>
                <w:color w:val="1A1A1A"/>
                <w:sz w:val="18"/>
                <w:szCs w:val="18"/>
              </w:rPr>
              <w:t>PptxGenJS slide deck generator (16 slides)</w:t>
            </w:r>
          </w:p>
        </w:tc>
      </w:tr>
      <w:tr>
        <w:trPr/>
        <w:tc>
          <w:tcPr>
            <w:tcW w:w="4199" w:type="dxa"/>
            <w:tcBorders>
              <w:top w:val="single" w:sz="4" w:space="0" w:color="CCCCCC"/>
              <w:left w:val="single" w:sz="4" w:space="0" w:color="CCCCCC"/>
              <w:bottom w:val="single" w:sz="4" w:space="0" w:color="CCCCCC"/>
              <w:right w:val="single" w:sz="4" w:space="0" w:color="CCCCCC"/>
            </w:tcBorders>
            <w:shd w:fill="F8FAFC" w:val="clear"/>
            <w:tcMar>
              <w:top w:w="55" w:type="dxa"/>
              <w:left w:w="260" w:type="dxa"/>
              <w:bottom w:w="55" w:type="dxa"/>
              <w:right w:w="60" w:type="dxa"/>
            </w:tcMar>
          </w:tcPr>
          <w:p>
            <w:pPr>
              <w:pStyle w:val="Normal"/>
              <w:widowControl w:val="false"/>
              <w:rPr/>
            </w:pPr>
            <w:r>
              <w:rPr>
                <w:rFonts w:eastAsia="Courier New" w:cs="Courier New" w:ascii="Courier New" w:hAnsi="Courier New"/>
                <w:b w:val="false"/>
                <w:bCs w:val="false"/>
                <w:color w:val="0D6E8A"/>
                <w:sz w:val="17"/>
                <w:szCs w:val="17"/>
              </w:rPr>
              <w:t>make_documentation.js</w:t>
            </w:r>
          </w:p>
        </w:tc>
        <w:tc>
          <w:tcPr>
            <w:tcW w:w="5160" w:type="dxa"/>
            <w:tcBorders>
              <w:top w:val="single" w:sz="4" w:space="0" w:color="CCCCCC"/>
              <w:left w:val="single" w:sz="4" w:space="0" w:color="CCCCCC"/>
              <w:bottom w:val="single" w:sz="4" w:space="0" w:color="CCCCCC"/>
              <w:right w:val="single" w:sz="4" w:space="0" w:color="CCCCCC"/>
            </w:tcBorders>
            <w:shd w:fill="F8FAFC" w:val="clear"/>
            <w:tcMar>
              <w:top w:w="55" w:type="dxa"/>
              <w:bottom w:w="55" w:type="dxa"/>
              <w:right w:w="100" w:type="dxa"/>
            </w:tcMar>
          </w:tcPr>
          <w:p>
            <w:pPr>
              <w:pStyle w:val="Normal"/>
              <w:widowControl w:val="false"/>
              <w:rPr/>
            </w:pPr>
            <w:r>
              <w:rPr>
                <w:rFonts w:eastAsia="Arial" w:cs="Arial"/>
                <w:b w:val="false"/>
                <w:bCs w:val="false"/>
                <w:color w:val="1A1A1A"/>
                <w:sz w:val="18"/>
                <w:szCs w:val="18"/>
              </w:rPr>
              <w:t>docx-js documentation generator (this document)</w:t>
            </w:r>
          </w:p>
        </w:tc>
      </w:tr>
      <w:tr>
        <w:trPr/>
        <w:tc>
          <w:tcPr>
            <w:tcW w:w="4199" w:type="dxa"/>
            <w:tcBorders>
              <w:top w:val="single" w:sz="4" w:space="0" w:color="CCCCCC"/>
              <w:left w:val="single" w:sz="4" w:space="0" w:color="CCCCCC"/>
              <w:bottom w:val="single" w:sz="4" w:space="0" w:color="CCCCCC"/>
              <w:right w:val="single" w:sz="4" w:space="0" w:color="CCCCCC"/>
            </w:tcBorders>
            <w:shd w:fill="EFF6FF" w:val="clear"/>
            <w:tcMar>
              <w:top w:w="55" w:type="dxa"/>
              <w:left w:w="260" w:type="dxa"/>
              <w:bottom w:w="55" w:type="dxa"/>
              <w:right w:w="60" w:type="dxa"/>
            </w:tcMar>
          </w:tcPr>
          <w:p>
            <w:pPr>
              <w:pStyle w:val="Normal"/>
              <w:widowControl w:val="false"/>
              <w:rPr/>
            </w:pPr>
            <w:r>
              <w:rPr>
                <w:rFonts w:eastAsia="Courier New" w:cs="Courier New" w:ascii="Courier New" w:hAnsi="Courier New"/>
                <w:b/>
                <w:bCs/>
                <w:color w:val="1E3A5F"/>
                <w:sz w:val="17"/>
                <w:szCs w:val="17"/>
              </w:rPr>
              <w:t>data/raw/</w:t>
            </w:r>
          </w:p>
        </w:tc>
        <w:tc>
          <w:tcPr>
            <w:tcW w:w="5160" w:type="dxa"/>
            <w:tcBorders>
              <w:top w:val="single" w:sz="4" w:space="0" w:color="CCCCCC"/>
              <w:left w:val="single" w:sz="4" w:space="0" w:color="CCCCCC"/>
              <w:bottom w:val="single" w:sz="4" w:space="0" w:color="CCCCCC"/>
              <w:right w:val="single" w:sz="4" w:space="0" w:color="CCCCCC"/>
            </w:tcBorders>
            <w:shd w:fill="EFF6FF" w:val="clear"/>
            <w:tcMar>
              <w:top w:w="55" w:type="dxa"/>
              <w:bottom w:w="55" w:type="dxa"/>
              <w:right w:w="100" w:type="dxa"/>
            </w:tcMar>
          </w:tcPr>
          <w:p>
            <w:pPr>
              <w:pStyle w:val="Normal"/>
              <w:widowControl w:val="false"/>
              <w:rPr/>
            </w:pPr>
            <w:r>
              <w:rPr>
                <w:rFonts w:eastAsia="Arial" w:cs="Arial"/>
                <w:b/>
                <w:bCs/>
                <w:color w:val="1E3A5F"/>
                <w:sz w:val="18"/>
                <w:szCs w:val="18"/>
              </w:rPr>
              <w:t>Raw input data — real JASPAR + synthetic benchmarks</w:t>
            </w:r>
          </w:p>
        </w:tc>
      </w:tr>
      <w:tr>
        <w:trPr/>
        <w:tc>
          <w:tcPr>
            <w:tcW w:w="4199" w:type="dxa"/>
            <w:tcBorders>
              <w:top w:val="single" w:sz="4" w:space="0" w:color="CCCCCC"/>
              <w:left w:val="single" w:sz="4" w:space="0" w:color="CCCCCC"/>
              <w:bottom w:val="single" w:sz="4" w:space="0" w:color="CCCCCC"/>
              <w:right w:val="single" w:sz="4" w:space="0" w:color="CCCCCC"/>
            </w:tcBorders>
            <w:shd w:fill="F8FAFC" w:val="clear"/>
            <w:tcMar>
              <w:top w:w="55" w:type="dxa"/>
              <w:left w:w="420" w:type="dxa"/>
              <w:bottom w:w="55" w:type="dxa"/>
              <w:right w:w="60" w:type="dxa"/>
            </w:tcMar>
          </w:tcPr>
          <w:p>
            <w:pPr>
              <w:pStyle w:val="Normal"/>
              <w:widowControl w:val="false"/>
              <w:rPr/>
            </w:pPr>
            <w:r>
              <w:rPr>
                <w:rFonts w:eastAsia="Courier New" w:cs="Courier New" w:ascii="Courier New" w:hAnsi="Courier New"/>
                <w:b w:val="false"/>
                <w:bCs w:val="false"/>
                <w:color w:val="0D6E8A"/>
                <w:sz w:val="17"/>
                <w:szCs w:val="17"/>
              </w:rPr>
              <w:t>fetch_real_data.py</w:t>
            </w:r>
          </w:p>
        </w:tc>
        <w:tc>
          <w:tcPr>
            <w:tcW w:w="5160" w:type="dxa"/>
            <w:tcBorders>
              <w:top w:val="single" w:sz="4" w:space="0" w:color="CCCCCC"/>
              <w:left w:val="single" w:sz="4" w:space="0" w:color="CCCCCC"/>
              <w:bottom w:val="single" w:sz="4" w:space="0" w:color="CCCCCC"/>
              <w:right w:val="single" w:sz="4" w:space="0" w:color="CCCCCC"/>
            </w:tcBorders>
            <w:shd w:fill="F8FAFC" w:val="clear"/>
            <w:tcMar>
              <w:top w:w="55" w:type="dxa"/>
              <w:bottom w:w="55" w:type="dxa"/>
              <w:right w:w="100" w:type="dxa"/>
            </w:tcMar>
          </w:tcPr>
          <w:p>
            <w:pPr>
              <w:pStyle w:val="Normal"/>
              <w:widowControl w:val="false"/>
              <w:rPr/>
            </w:pPr>
            <w:r>
              <w:rPr>
                <w:rFonts w:eastAsia="Arial" w:cs="Arial"/>
                <w:b w:val="false"/>
                <w:bCs w:val="false"/>
                <w:color w:val="1A1A1A"/>
                <w:sz w:val="18"/>
                <w:szCs w:val="18"/>
              </w:rPr>
              <w:t>Live JASPAR REST API + NCBI Entrez fetcher</w:t>
            </w:r>
          </w:p>
        </w:tc>
      </w:tr>
      <w:tr>
        <w:trPr/>
        <w:tc>
          <w:tcPr>
            <w:tcW w:w="4199" w:type="dxa"/>
            <w:tcBorders>
              <w:top w:val="single" w:sz="4" w:space="0" w:color="CCCCCC"/>
              <w:left w:val="single" w:sz="4" w:space="0" w:color="CCCCCC"/>
              <w:bottom w:val="single" w:sz="4" w:space="0" w:color="CCCCCC"/>
              <w:right w:val="single" w:sz="4" w:space="0" w:color="CCCCCC"/>
            </w:tcBorders>
            <w:shd w:fill="FFFFFF" w:val="clear"/>
            <w:tcMar>
              <w:top w:w="55" w:type="dxa"/>
              <w:left w:w="420" w:type="dxa"/>
              <w:bottom w:w="55" w:type="dxa"/>
              <w:right w:w="60" w:type="dxa"/>
            </w:tcMar>
          </w:tcPr>
          <w:p>
            <w:pPr>
              <w:pStyle w:val="Normal"/>
              <w:widowControl w:val="false"/>
              <w:rPr/>
            </w:pPr>
            <w:r>
              <w:rPr>
                <w:rFonts w:eastAsia="Courier New" w:cs="Courier New" w:ascii="Courier New" w:hAnsi="Courier New"/>
                <w:b w:val="false"/>
                <w:bCs w:val="false"/>
                <w:color w:val="0D6E8A"/>
                <w:sz w:val="17"/>
                <w:szCs w:val="17"/>
              </w:rPr>
              <w:t>build_all_real_datasets.py</w:t>
            </w:r>
          </w:p>
        </w:tc>
        <w:tc>
          <w:tcPr>
            <w:tcW w:w="5160"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right w:w="100" w:type="dxa"/>
            </w:tcMar>
          </w:tcPr>
          <w:p>
            <w:pPr>
              <w:pStyle w:val="Normal"/>
              <w:widowControl w:val="false"/>
              <w:rPr/>
            </w:pPr>
            <w:r>
              <w:rPr>
                <w:rFonts w:eastAsia="Arial" w:cs="Arial"/>
                <w:b w:val="false"/>
                <w:bCs w:val="false"/>
                <w:color w:val="1A1A1A"/>
                <w:sz w:val="18"/>
                <w:szCs w:val="18"/>
              </w:rPr>
              <w:t>Converts fetched JASPAR PFMs to FASTA sequences</w:t>
            </w:r>
          </w:p>
        </w:tc>
      </w:tr>
      <w:tr>
        <w:trPr/>
        <w:tc>
          <w:tcPr>
            <w:tcW w:w="4199" w:type="dxa"/>
            <w:tcBorders>
              <w:top w:val="single" w:sz="4" w:space="0" w:color="CCCCCC"/>
              <w:left w:val="single" w:sz="4" w:space="0" w:color="CCCCCC"/>
              <w:bottom w:val="single" w:sz="4" w:space="0" w:color="CCCCCC"/>
              <w:right w:val="single" w:sz="4" w:space="0" w:color="CCCCCC"/>
            </w:tcBorders>
            <w:shd w:fill="F8FAFC" w:val="clear"/>
            <w:tcMar>
              <w:top w:w="55" w:type="dxa"/>
              <w:left w:w="420" w:type="dxa"/>
              <w:bottom w:w="55" w:type="dxa"/>
              <w:right w:w="60" w:type="dxa"/>
            </w:tcMar>
          </w:tcPr>
          <w:p>
            <w:pPr>
              <w:pStyle w:val="Normal"/>
              <w:widowControl w:val="false"/>
              <w:rPr/>
            </w:pPr>
            <w:r>
              <w:rPr>
                <w:rFonts w:eastAsia="Courier New" w:cs="Courier New" w:ascii="Courier New" w:hAnsi="Courier New"/>
                <w:b w:val="false"/>
                <w:bCs w:val="false"/>
                <w:color w:val="0D6E8A"/>
                <w:sz w:val="17"/>
                <w:szCs w:val="17"/>
              </w:rPr>
              <w:t>expand_real_data.py</w:t>
            </w:r>
          </w:p>
        </w:tc>
        <w:tc>
          <w:tcPr>
            <w:tcW w:w="5160" w:type="dxa"/>
            <w:tcBorders>
              <w:top w:val="single" w:sz="4" w:space="0" w:color="CCCCCC"/>
              <w:left w:val="single" w:sz="4" w:space="0" w:color="CCCCCC"/>
              <w:bottom w:val="single" w:sz="4" w:space="0" w:color="CCCCCC"/>
              <w:right w:val="single" w:sz="4" w:space="0" w:color="CCCCCC"/>
            </w:tcBorders>
            <w:shd w:fill="F8FAFC" w:val="clear"/>
            <w:tcMar>
              <w:top w:w="55" w:type="dxa"/>
              <w:bottom w:w="55" w:type="dxa"/>
              <w:right w:w="100" w:type="dxa"/>
            </w:tcMar>
          </w:tcPr>
          <w:p>
            <w:pPr>
              <w:pStyle w:val="Normal"/>
              <w:widowControl w:val="false"/>
              <w:rPr/>
            </w:pPr>
            <w:r>
              <w:rPr>
                <w:rFonts w:eastAsia="Arial" w:cs="Arial"/>
                <w:b w:val="false"/>
                <w:bCs w:val="false"/>
                <w:color w:val="1A1A1A"/>
                <w:sz w:val="18"/>
                <w:szCs w:val="18"/>
              </w:rPr>
              <w:t>Adds human vertebrate TFs (CTCF, E2F1, HOXA10)</w:t>
            </w:r>
          </w:p>
        </w:tc>
      </w:tr>
      <w:tr>
        <w:trPr/>
        <w:tc>
          <w:tcPr>
            <w:tcW w:w="4199" w:type="dxa"/>
            <w:tcBorders>
              <w:top w:val="single" w:sz="4" w:space="0" w:color="CCCCCC"/>
              <w:left w:val="single" w:sz="4" w:space="0" w:color="CCCCCC"/>
              <w:bottom w:val="single" w:sz="4" w:space="0" w:color="CCCCCC"/>
              <w:right w:val="single" w:sz="4" w:space="0" w:color="CCCCCC"/>
            </w:tcBorders>
            <w:shd w:fill="FFFFFF" w:val="clear"/>
            <w:tcMar>
              <w:top w:w="55" w:type="dxa"/>
              <w:left w:w="420" w:type="dxa"/>
              <w:bottom w:w="55" w:type="dxa"/>
              <w:right w:w="60" w:type="dxa"/>
            </w:tcMar>
          </w:tcPr>
          <w:p>
            <w:pPr>
              <w:pStyle w:val="Normal"/>
              <w:widowControl w:val="false"/>
              <w:rPr/>
            </w:pPr>
            <w:r>
              <w:rPr>
                <w:rFonts w:eastAsia="Courier New" w:cs="Courier New" w:ascii="Courier New" w:hAnsi="Courier New"/>
                <w:b w:val="false"/>
                <w:bCs w:val="false"/>
                <w:color w:val="0D6E8A"/>
                <w:sz w:val="17"/>
                <w:szCs w:val="17"/>
              </w:rPr>
              <w:t>generate_synthetic_data.py</w:t>
            </w:r>
          </w:p>
        </w:tc>
        <w:tc>
          <w:tcPr>
            <w:tcW w:w="5160"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right w:w="100" w:type="dxa"/>
            </w:tcMar>
          </w:tcPr>
          <w:p>
            <w:pPr>
              <w:pStyle w:val="Normal"/>
              <w:widowControl w:val="false"/>
              <w:rPr/>
            </w:pPr>
            <w:r>
              <w:rPr>
                <w:rFonts w:eastAsia="Arial" w:cs="Arial"/>
                <w:b w:val="false"/>
                <w:bCs w:val="false"/>
                <w:color w:val="1A1A1A"/>
                <w:sz w:val="18"/>
                <w:szCs w:val="18"/>
              </w:rPr>
              <w:t>Generates planted-motif benchmark FASTA datasets</w:t>
            </w:r>
          </w:p>
        </w:tc>
      </w:tr>
      <w:tr>
        <w:trPr/>
        <w:tc>
          <w:tcPr>
            <w:tcW w:w="4199" w:type="dxa"/>
            <w:tcBorders>
              <w:top w:val="single" w:sz="4" w:space="0" w:color="CCCCCC"/>
              <w:left w:val="single" w:sz="4" w:space="0" w:color="CCCCCC"/>
              <w:bottom w:val="single" w:sz="4" w:space="0" w:color="CCCCCC"/>
              <w:right w:val="single" w:sz="4" w:space="0" w:color="CCCCCC"/>
            </w:tcBorders>
            <w:shd w:fill="F8FAFC" w:val="clear"/>
            <w:tcMar>
              <w:top w:w="55" w:type="dxa"/>
              <w:left w:w="420" w:type="dxa"/>
              <w:bottom w:w="55" w:type="dxa"/>
              <w:right w:w="60" w:type="dxa"/>
            </w:tcMar>
          </w:tcPr>
          <w:p>
            <w:pPr>
              <w:pStyle w:val="Normal"/>
              <w:widowControl w:val="false"/>
              <w:rPr/>
            </w:pPr>
            <w:r>
              <w:rPr>
                <w:rFonts w:eastAsia="Courier New" w:cs="Courier New" w:ascii="Courier New" w:hAnsi="Courier New"/>
                <w:b w:val="false"/>
                <w:bCs w:val="false"/>
                <w:color w:val="0D6E8A"/>
                <w:sz w:val="17"/>
                <w:szCs w:val="17"/>
              </w:rPr>
              <w:t>real_human_vertebrate_TFs.fasta</w:t>
            </w:r>
          </w:p>
        </w:tc>
        <w:tc>
          <w:tcPr>
            <w:tcW w:w="5160" w:type="dxa"/>
            <w:tcBorders>
              <w:top w:val="single" w:sz="4" w:space="0" w:color="CCCCCC"/>
              <w:left w:val="single" w:sz="4" w:space="0" w:color="CCCCCC"/>
              <w:bottom w:val="single" w:sz="4" w:space="0" w:color="CCCCCC"/>
              <w:right w:val="single" w:sz="4" w:space="0" w:color="CCCCCC"/>
            </w:tcBorders>
            <w:shd w:fill="F8FAFC" w:val="clear"/>
            <w:tcMar>
              <w:top w:w="55" w:type="dxa"/>
              <w:bottom w:w="55" w:type="dxa"/>
              <w:right w:w="100" w:type="dxa"/>
            </w:tcMar>
          </w:tcPr>
          <w:p>
            <w:pPr>
              <w:pStyle w:val="Normal"/>
              <w:widowControl w:val="false"/>
              <w:rPr/>
            </w:pPr>
            <w:r>
              <w:rPr>
                <w:rFonts w:eastAsia="Arial" w:cs="Arial"/>
                <w:b w:val="false"/>
                <w:bCs w:val="false"/>
                <w:color w:val="1A1A1A"/>
                <w:sz w:val="18"/>
                <w:szCs w:val="18"/>
              </w:rPr>
              <w:t>120 real human TF binding-site sequences</w:t>
            </w:r>
          </w:p>
        </w:tc>
      </w:tr>
      <w:tr>
        <w:trPr/>
        <w:tc>
          <w:tcPr>
            <w:tcW w:w="4199" w:type="dxa"/>
            <w:tcBorders>
              <w:top w:val="single" w:sz="4" w:space="0" w:color="CCCCCC"/>
              <w:left w:val="single" w:sz="4" w:space="0" w:color="CCCCCC"/>
              <w:bottom w:val="single" w:sz="4" w:space="0" w:color="CCCCCC"/>
              <w:right w:val="single" w:sz="4" w:space="0" w:color="CCCCCC"/>
            </w:tcBorders>
            <w:shd w:fill="FFFFFF" w:val="clear"/>
            <w:tcMar>
              <w:top w:w="55" w:type="dxa"/>
              <w:left w:w="420" w:type="dxa"/>
              <w:bottom w:w="55" w:type="dxa"/>
              <w:right w:w="60" w:type="dxa"/>
            </w:tcMar>
          </w:tcPr>
          <w:p>
            <w:pPr>
              <w:pStyle w:val="Normal"/>
              <w:widowControl w:val="false"/>
              <w:rPr/>
            </w:pPr>
            <w:r>
              <w:rPr>
                <w:rFonts w:eastAsia="Courier New" w:cs="Courier New" w:ascii="Courier New" w:hAnsi="Courier New"/>
                <w:b w:val="false"/>
                <w:bCs w:val="false"/>
                <w:color w:val="0D6E8A"/>
                <w:sz w:val="17"/>
                <w:szCs w:val="17"/>
              </w:rPr>
              <w:t>real_yeast_TFs.fasta</w:t>
            </w:r>
          </w:p>
        </w:tc>
        <w:tc>
          <w:tcPr>
            <w:tcW w:w="5160"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right w:w="100" w:type="dxa"/>
            </w:tcMar>
          </w:tcPr>
          <w:p>
            <w:pPr>
              <w:pStyle w:val="Normal"/>
              <w:widowControl w:val="false"/>
              <w:rPr/>
            </w:pPr>
            <w:r>
              <w:rPr>
                <w:rFonts w:eastAsia="Arial" w:cs="Arial"/>
                <w:b w:val="false"/>
                <w:bCs w:val="false"/>
                <w:color w:val="1A1A1A"/>
                <w:sz w:val="18"/>
                <w:szCs w:val="18"/>
              </w:rPr>
              <w:t>90 S. cerevisiae ABF1/ABF2 sequences (PBM/DIP-chip)</w:t>
            </w:r>
          </w:p>
        </w:tc>
      </w:tr>
      <w:tr>
        <w:trPr/>
        <w:tc>
          <w:tcPr>
            <w:tcW w:w="4199" w:type="dxa"/>
            <w:tcBorders>
              <w:top w:val="single" w:sz="4" w:space="0" w:color="CCCCCC"/>
              <w:left w:val="single" w:sz="4" w:space="0" w:color="CCCCCC"/>
              <w:bottom w:val="single" w:sz="4" w:space="0" w:color="CCCCCC"/>
              <w:right w:val="single" w:sz="4" w:space="0" w:color="CCCCCC"/>
            </w:tcBorders>
            <w:shd w:fill="F8FAFC" w:val="clear"/>
            <w:tcMar>
              <w:top w:w="55" w:type="dxa"/>
              <w:left w:w="420" w:type="dxa"/>
              <w:bottom w:w="55" w:type="dxa"/>
              <w:right w:w="60" w:type="dxa"/>
            </w:tcMar>
          </w:tcPr>
          <w:p>
            <w:pPr>
              <w:pStyle w:val="Normal"/>
              <w:widowControl w:val="false"/>
              <w:rPr/>
            </w:pPr>
            <w:r>
              <w:rPr>
                <w:rFonts w:eastAsia="Courier New" w:cs="Courier New" w:ascii="Courier New" w:hAnsi="Courier New"/>
                <w:b w:val="false"/>
                <w:bCs w:val="false"/>
                <w:color w:val="0D6E8A"/>
                <w:sz w:val="17"/>
                <w:szCs w:val="17"/>
              </w:rPr>
              <w:t>real_plant_bZIP.fasta</w:t>
            </w:r>
          </w:p>
        </w:tc>
        <w:tc>
          <w:tcPr>
            <w:tcW w:w="5160" w:type="dxa"/>
            <w:tcBorders>
              <w:top w:val="single" w:sz="4" w:space="0" w:color="CCCCCC"/>
              <w:left w:val="single" w:sz="4" w:space="0" w:color="CCCCCC"/>
              <w:bottom w:val="single" w:sz="4" w:space="0" w:color="CCCCCC"/>
              <w:right w:val="single" w:sz="4" w:space="0" w:color="CCCCCC"/>
            </w:tcBorders>
            <w:shd w:fill="F8FAFC" w:val="clear"/>
            <w:tcMar>
              <w:top w:w="55" w:type="dxa"/>
              <w:bottom w:w="55" w:type="dxa"/>
              <w:right w:w="100" w:type="dxa"/>
            </w:tcMar>
          </w:tcPr>
          <w:p>
            <w:pPr>
              <w:pStyle w:val="Normal"/>
              <w:widowControl w:val="false"/>
              <w:rPr/>
            </w:pPr>
            <w:r>
              <w:rPr>
                <w:rFonts w:eastAsia="Arial" w:cs="Arial"/>
                <w:b w:val="false"/>
                <w:bCs w:val="false"/>
                <w:color w:val="1A1A1A"/>
                <w:sz w:val="18"/>
                <w:szCs w:val="18"/>
              </w:rPr>
              <w:t>180 Arabidopsis bZIP sequences (SELEX/PBM/ChIP/DAP)</w:t>
            </w:r>
          </w:p>
        </w:tc>
      </w:tr>
      <w:tr>
        <w:trPr/>
        <w:tc>
          <w:tcPr>
            <w:tcW w:w="4199" w:type="dxa"/>
            <w:tcBorders>
              <w:top w:val="single" w:sz="4" w:space="0" w:color="CCCCCC"/>
              <w:left w:val="single" w:sz="4" w:space="0" w:color="CCCCCC"/>
              <w:bottom w:val="single" w:sz="4" w:space="0" w:color="CCCCCC"/>
              <w:right w:val="single" w:sz="4" w:space="0" w:color="CCCCCC"/>
            </w:tcBorders>
            <w:shd w:fill="FFFFFF" w:val="clear"/>
            <w:tcMar>
              <w:top w:w="55" w:type="dxa"/>
              <w:left w:w="420" w:type="dxa"/>
              <w:bottom w:w="55" w:type="dxa"/>
              <w:right w:w="60" w:type="dxa"/>
            </w:tcMar>
          </w:tcPr>
          <w:p>
            <w:pPr>
              <w:pStyle w:val="Normal"/>
              <w:widowControl w:val="false"/>
              <w:rPr/>
            </w:pPr>
            <w:r>
              <w:rPr>
                <w:rFonts w:eastAsia="Courier New" w:cs="Courier New" w:ascii="Courier New" w:hAnsi="Courier New"/>
                <w:b w:val="false"/>
                <w:bCs w:val="false"/>
                <w:color w:val="0D6E8A"/>
                <w:sz w:val="17"/>
                <w:szCs w:val="17"/>
              </w:rPr>
              <w:t>real_plant_B3_MADS.fasta</w:t>
            </w:r>
          </w:p>
        </w:tc>
        <w:tc>
          <w:tcPr>
            <w:tcW w:w="5160"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right w:w="100" w:type="dxa"/>
            </w:tcMar>
          </w:tcPr>
          <w:p>
            <w:pPr>
              <w:pStyle w:val="Normal"/>
              <w:widowControl w:val="false"/>
              <w:rPr/>
            </w:pPr>
            <w:r>
              <w:rPr>
                <w:rFonts w:eastAsia="Arial" w:cs="Arial"/>
                <w:b w:val="false"/>
                <w:bCs w:val="false"/>
                <w:color w:val="1A1A1A"/>
                <w:sz w:val="18"/>
                <w:szCs w:val="18"/>
              </w:rPr>
              <w:t>80 Arabidopsis AGL3, ABI3, ABR1 sequences</w:t>
            </w:r>
          </w:p>
        </w:tc>
      </w:tr>
      <w:tr>
        <w:trPr/>
        <w:tc>
          <w:tcPr>
            <w:tcW w:w="4199" w:type="dxa"/>
            <w:tcBorders>
              <w:top w:val="single" w:sz="4" w:space="0" w:color="CCCCCC"/>
              <w:left w:val="single" w:sz="4" w:space="0" w:color="CCCCCC"/>
              <w:bottom w:val="single" w:sz="4" w:space="0" w:color="CCCCCC"/>
              <w:right w:val="single" w:sz="4" w:space="0" w:color="CCCCCC"/>
            </w:tcBorders>
            <w:shd w:fill="F8FAFC" w:val="clear"/>
            <w:tcMar>
              <w:top w:w="55" w:type="dxa"/>
              <w:left w:w="420" w:type="dxa"/>
              <w:bottom w:w="55" w:type="dxa"/>
              <w:right w:w="60" w:type="dxa"/>
            </w:tcMar>
          </w:tcPr>
          <w:p>
            <w:pPr>
              <w:pStyle w:val="Normal"/>
              <w:widowControl w:val="false"/>
              <w:rPr/>
            </w:pPr>
            <w:r>
              <w:rPr>
                <w:rFonts w:eastAsia="Courier New" w:cs="Courier New" w:ascii="Courier New" w:hAnsi="Courier New"/>
                <w:b w:val="false"/>
                <w:bCs w:val="false"/>
                <w:color w:val="0D6E8A"/>
                <w:sz w:val="17"/>
                <w:szCs w:val="17"/>
              </w:rPr>
              <w:t>real_all_jaspar.fasta</w:t>
            </w:r>
          </w:p>
        </w:tc>
        <w:tc>
          <w:tcPr>
            <w:tcW w:w="5160" w:type="dxa"/>
            <w:tcBorders>
              <w:top w:val="single" w:sz="4" w:space="0" w:color="CCCCCC"/>
              <w:left w:val="single" w:sz="4" w:space="0" w:color="CCCCCC"/>
              <w:bottom w:val="single" w:sz="4" w:space="0" w:color="CCCCCC"/>
              <w:right w:val="single" w:sz="4" w:space="0" w:color="CCCCCC"/>
            </w:tcBorders>
            <w:shd w:fill="F8FAFC" w:val="clear"/>
            <w:tcMar>
              <w:top w:w="55" w:type="dxa"/>
              <w:bottom w:w="55" w:type="dxa"/>
              <w:right w:w="100" w:type="dxa"/>
            </w:tcMar>
          </w:tcPr>
          <w:p>
            <w:pPr>
              <w:pStyle w:val="Normal"/>
              <w:widowControl w:val="false"/>
              <w:rPr/>
            </w:pPr>
            <w:r>
              <w:rPr>
                <w:rFonts w:eastAsia="Arial" w:cs="Arial"/>
                <w:b w:val="false"/>
                <w:bCs w:val="false"/>
                <w:color w:val="1A1A1A"/>
                <w:sz w:val="18"/>
                <w:szCs w:val="18"/>
              </w:rPr>
              <w:t>440 combined sequences from all 22 JASPAR matrices</w:t>
            </w:r>
          </w:p>
        </w:tc>
      </w:tr>
      <w:tr>
        <w:trPr/>
        <w:tc>
          <w:tcPr>
            <w:tcW w:w="4199" w:type="dxa"/>
            <w:tcBorders>
              <w:top w:val="single" w:sz="4" w:space="0" w:color="CCCCCC"/>
              <w:left w:val="single" w:sz="4" w:space="0" w:color="CCCCCC"/>
              <w:bottom w:val="single" w:sz="4" w:space="0" w:color="CCCCCC"/>
              <w:right w:val="single" w:sz="4" w:space="0" w:color="CCCCCC"/>
            </w:tcBorders>
            <w:shd w:fill="FFFFFF" w:val="clear"/>
            <w:tcMar>
              <w:top w:w="55" w:type="dxa"/>
              <w:left w:w="420" w:type="dxa"/>
              <w:bottom w:w="55" w:type="dxa"/>
              <w:right w:w="60" w:type="dxa"/>
            </w:tcMar>
          </w:tcPr>
          <w:p>
            <w:pPr>
              <w:pStyle w:val="Normal"/>
              <w:widowControl w:val="false"/>
              <w:rPr/>
            </w:pPr>
            <w:r>
              <w:rPr>
                <w:rFonts w:eastAsia="Courier New" w:cs="Courier New" w:ascii="Courier New" w:hAnsi="Courier New"/>
                <w:b w:val="false"/>
                <w:bCs w:val="false"/>
                <w:color w:val="0D6E8A"/>
                <w:sz w:val="17"/>
                <w:szCs w:val="17"/>
              </w:rPr>
              <w:t>jaspar_MA*.fasta</w:t>
            </w:r>
          </w:p>
        </w:tc>
        <w:tc>
          <w:tcPr>
            <w:tcW w:w="5160"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right w:w="100" w:type="dxa"/>
            </w:tcMar>
          </w:tcPr>
          <w:p>
            <w:pPr>
              <w:pStyle w:val="Normal"/>
              <w:widowControl w:val="false"/>
              <w:rPr/>
            </w:pPr>
            <w:r>
              <w:rPr>
                <w:rFonts w:eastAsia="Arial" w:cs="Arial"/>
                <w:b w:val="false"/>
                <w:bCs w:val="false"/>
                <w:color w:val="1A1A1A"/>
                <w:sz w:val="18"/>
                <w:szCs w:val="18"/>
              </w:rPr>
              <w:t>Per-TF FASTA files — one per matrix (22 total files)</w:t>
            </w:r>
          </w:p>
        </w:tc>
      </w:tr>
      <w:tr>
        <w:trPr/>
        <w:tc>
          <w:tcPr>
            <w:tcW w:w="4199" w:type="dxa"/>
            <w:tcBorders>
              <w:top w:val="single" w:sz="4" w:space="0" w:color="CCCCCC"/>
              <w:left w:val="single" w:sz="4" w:space="0" w:color="CCCCCC"/>
              <w:bottom w:val="single" w:sz="4" w:space="0" w:color="CCCCCC"/>
              <w:right w:val="single" w:sz="4" w:space="0" w:color="CCCCCC"/>
            </w:tcBorders>
            <w:shd w:fill="F8FAFC" w:val="clear"/>
            <w:tcMar>
              <w:top w:w="55" w:type="dxa"/>
              <w:left w:w="420" w:type="dxa"/>
              <w:bottom w:w="55" w:type="dxa"/>
              <w:right w:w="60" w:type="dxa"/>
            </w:tcMar>
          </w:tcPr>
          <w:p>
            <w:pPr>
              <w:pStyle w:val="Normal"/>
              <w:widowControl w:val="false"/>
              <w:rPr/>
            </w:pPr>
            <w:r>
              <w:rPr>
                <w:rFonts w:eastAsia="Courier New" w:cs="Courier New" w:ascii="Courier New" w:hAnsi="Courier New"/>
                <w:b w:val="false"/>
                <w:bCs w:val="false"/>
                <w:color w:val="0D6E8A"/>
                <w:sz w:val="17"/>
                <w:szCs w:val="17"/>
              </w:rPr>
              <w:t>synthetic_*.fasta</w:t>
            </w:r>
          </w:p>
        </w:tc>
        <w:tc>
          <w:tcPr>
            <w:tcW w:w="5160" w:type="dxa"/>
            <w:tcBorders>
              <w:top w:val="single" w:sz="4" w:space="0" w:color="CCCCCC"/>
              <w:left w:val="single" w:sz="4" w:space="0" w:color="CCCCCC"/>
              <w:bottom w:val="single" w:sz="4" w:space="0" w:color="CCCCCC"/>
              <w:right w:val="single" w:sz="4" w:space="0" w:color="CCCCCC"/>
            </w:tcBorders>
            <w:shd w:fill="F8FAFC" w:val="clear"/>
            <w:tcMar>
              <w:top w:w="55" w:type="dxa"/>
              <w:bottom w:w="55" w:type="dxa"/>
              <w:right w:w="100" w:type="dxa"/>
            </w:tcMar>
          </w:tcPr>
          <w:p>
            <w:pPr>
              <w:pStyle w:val="Normal"/>
              <w:widowControl w:val="false"/>
              <w:rPr/>
            </w:pPr>
            <w:r>
              <w:rPr>
                <w:rFonts w:eastAsia="Arial" w:cs="Arial"/>
                <w:b w:val="false"/>
                <w:bCs w:val="false"/>
                <w:color w:val="1A1A1A"/>
                <w:sz w:val="18"/>
                <w:szCs w:val="18"/>
              </w:rPr>
              <w:t>4 synthetic benchmark datasets with planted motifs</w:t>
            </w:r>
          </w:p>
        </w:tc>
      </w:tr>
      <w:tr>
        <w:trPr/>
        <w:tc>
          <w:tcPr>
            <w:tcW w:w="4199" w:type="dxa"/>
            <w:tcBorders>
              <w:top w:val="single" w:sz="4" w:space="0" w:color="CCCCCC"/>
              <w:left w:val="single" w:sz="4" w:space="0" w:color="CCCCCC"/>
              <w:bottom w:val="single" w:sz="4" w:space="0" w:color="CCCCCC"/>
              <w:right w:val="single" w:sz="4" w:space="0" w:color="CCCCCC"/>
            </w:tcBorders>
            <w:shd w:fill="FFFFFF" w:val="clear"/>
            <w:tcMar>
              <w:top w:w="55" w:type="dxa"/>
              <w:left w:w="420" w:type="dxa"/>
              <w:bottom w:w="55" w:type="dxa"/>
              <w:right w:w="60" w:type="dxa"/>
            </w:tcMar>
          </w:tcPr>
          <w:p>
            <w:pPr>
              <w:pStyle w:val="Normal"/>
              <w:widowControl w:val="false"/>
              <w:rPr/>
            </w:pPr>
            <w:r>
              <w:rPr>
                <w:rFonts w:eastAsia="Courier New" w:cs="Courier New" w:ascii="Courier New" w:hAnsi="Courier New"/>
                <w:b w:val="false"/>
                <w:bCs w:val="false"/>
                <w:color w:val="0D6E8A"/>
                <w:sz w:val="17"/>
                <w:szCs w:val="17"/>
              </w:rPr>
              <w:t>jaspar_real_metadata.json</w:t>
            </w:r>
          </w:p>
        </w:tc>
        <w:tc>
          <w:tcPr>
            <w:tcW w:w="5160"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right w:w="100" w:type="dxa"/>
            </w:tcMar>
          </w:tcPr>
          <w:p>
            <w:pPr>
              <w:pStyle w:val="Normal"/>
              <w:widowControl w:val="false"/>
              <w:rPr/>
            </w:pPr>
            <w:r>
              <w:rPr>
                <w:rFonts w:eastAsia="Arial" w:cs="Arial"/>
                <w:b w:val="false"/>
                <w:bCs w:val="false"/>
                <w:color w:val="1A1A1A"/>
                <w:sz w:val="18"/>
                <w:szCs w:val="18"/>
              </w:rPr>
              <w:t>Full provenance: organism, experiment, PubMed ID per matrix</w:t>
            </w:r>
          </w:p>
        </w:tc>
      </w:tr>
      <w:tr>
        <w:trPr/>
        <w:tc>
          <w:tcPr>
            <w:tcW w:w="4199" w:type="dxa"/>
            <w:tcBorders>
              <w:top w:val="single" w:sz="4" w:space="0" w:color="CCCCCC"/>
              <w:left w:val="single" w:sz="4" w:space="0" w:color="CCCCCC"/>
              <w:bottom w:val="single" w:sz="4" w:space="0" w:color="CCCCCC"/>
              <w:right w:val="single" w:sz="4" w:space="0" w:color="CCCCCC"/>
            </w:tcBorders>
            <w:shd w:fill="EFF6FF" w:val="clear"/>
            <w:tcMar>
              <w:top w:w="55" w:type="dxa"/>
              <w:left w:w="260" w:type="dxa"/>
              <w:bottom w:w="55" w:type="dxa"/>
              <w:right w:w="60" w:type="dxa"/>
            </w:tcMar>
          </w:tcPr>
          <w:p>
            <w:pPr>
              <w:pStyle w:val="Normal"/>
              <w:widowControl w:val="false"/>
              <w:rPr/>
            </w:pPr>
            <w:r>
              <w:rPr>
                <w:rFonts w:eastAsia="Courier New" w:cs="Courier New" w:ascii="Courier New" w:hAnsi="Courier New"/>
                <w:b/>
                <w:bCs/>
                <w:color w:val="1E3A5F"/>
                <w:sz w:val="17"/>
                <w:szCs w:val="17"/>
              </w:rPr>
              <w:t>data/processed/</w:t>
            </w:r>
          </w:p>
        </w:tc>
        <w:tc>
          <w:tcPr>
            <w:tcW w:w="5160" w:type="dxa"/>
            <w:tcBorders>
              <w:top w:val="single" w:sz="4" w:space="0" w:color="CCCCCC"/>
              <w:left w:val="single" w:sz="4" w:space="0" w:color="CCCCCC"/>
              <w:bottom w:val="single" w:sz="4" w:space="0" w:color="CCCCCC"/>
              <w:right w:val="single" w:sz="4" w:space="0" w:color="CCCCCC"/>
            </w:tcBorders>
            <w:shd w:fill="EFF6FF" w:val="clear"/>
            <w:tcMar>
              <w:top w:w="55" w:type="dxa"/>
              <w:bottom w:w="55" w:type="dxa"/>
              <w:right w:w="100" w:type="dxa"/>
            </w:tcMar>
          </w:tcPr>
          <w:p>
            <w:pPr>
              <w:pStyle w:val="Normal"/>
              <w:widowControl w:val="false"/>
              <w:rPr/>
            </w:pPr>
            <w:r>
              <w:rPr>
                <w:rFonts w:eastAsia="Arial" w:cs="Arial"/>
                <w:b/>
                <w:bCs/>
                <w:color w:val="1E3A5F"/>
                <w:sz w:val="18"/>
                <w:szCs w:val="18"/>
              </w:rPr>
              <w:t>Auto-generated cleaned + filtered sequences</w:t>
            </w:r>
          </w:p>
        </w:tc>
      </w:tr>
      <w:tr>
        <w:trPr/>
        <w:tc>
          <w:tcPr>
            <w:tcW w:w="4199" w:type="dxa"/>
            <w:tcBorders>
              <w:top w:val="single" w:sz="4" w:space="0" w:color="CCCCCC"/>
              <w:left w:val="single" w:sz="4" w:space="0" w:color="CCCCCC"/>
              <w:bottom w:val="single" w:sz="4" w:space="0" w:color="CCCCCC"/>
              <w:right w:val="single" w:sz="4" w:space="0" w:color="CCCCCC"/>
            </w:tcBorders>
            <w:shd w:fill="EFF6FF" w:val="clear"/>
            <w:tcMar>
              <w:top w:w="55" w:type="dxa"/>
              <w:left w:w="260" w:type="dxa"/>
              <w:bottom w:w="55" w:type="dxa"/>
              <w:right w:w="60" w:type="dxa"/>
            </w:tcMar>
          </w:tcPr>
          <w:p>
            <w:pPr>
              <w:pStyle w:val="Normal"/>
              <w:widowControl w:val="false"/>
              <w:rPr/>
            </w:pPr>
            <w:r>
              <w:rPr>
                <w:rFonts w:eastAsia="Courier New" w:cs="Courier New" w:ascii="Courier New" w:hAnsi="Courier New"/>
                <w:b/>
                <w:bCs/>
                <w:color w:val="1E3A5F"/>
                <w:sz w:val="17"/>
                <w:szCs w:val="17"/>
              </w:rPr>
              <w:t>src/</w:t>
            </w:r>
          </w:p>
        </w:tc>
        <w:tc>
          <w:tcPr>
            <w:tcW w:w="5160" w:type="dxa"/>
            <w:tcBorders>
              <w:top w:val="single" w:sz="4" w:space="0" w:color="CCCCCC"/>
              <w:left w:val="single" w:sz="4" w:space="0" w:color="CCCCCC"/>
              <w:bottom w:val="single" w:sz="4" w:space="0" w:color="CCCCCC"/>
              <w:right w:val="single" w:sz="4" w:space="0" w:color="CCCCCC"/>
            </w:tcBorders>
            <w:shd w:fill="EFF6FF" w:val="clear"/>
            <w:tcMar>
              <w:top w:w="55" w:type="dxa"/>
              <w:bottom w:w="55" w:type="dxa"/>
              <w:right w:w="100" w:type="dxa"/>
            </w:tcMar>
          </w:tcPr>
          <w:p>
            <w:pPr>
              <w:pStyle w:val="Normal"/>
              <w:widowControl w:val="false"/>
              <w:rPr/>
            </w:pPr>
            <w:r>
              <w:rPr>
                <w:rFonts w:eastAsia="Arial" w:cs="Arial"/>
                <w:b/>
                <w:bCs/>
                <w:color w:val="1E3A5F"/>
                <w:sz w:val="18"/>
                <w:szCs w:val="18"/>
              </w:rPr>
              <w:t>Python source modules</w:t>
            </w:r>
          </w:p>
        </w:tc>
      </w:tr>
      <w:tr>
        <w:trPr/>
        <w:tc>
          <w:tcPr>
            <w:tcW w:w="4199" w:type="dxa"/>
            <w:tcBorders>
              <w:top w:val="single" w:sz="4" w:space="0" w:color="CCCCCC"/>
              <w:left w:val="single" w:sz="4" w:space="0" w:color="CCCCCC"/>
              <w:bottom w:val="single" w:sz="4" w:space="0" w:color="CCCCCC"/>
              <w:right w:val="single" w:sz="4" w:space="0" w:color="CCCCCC"/>
            </w:tcBorders>
            <w:shd w:fill="F8FAFC" w:val="clear"/>
            <w:tcMar>
              <w:top w:w="55" w:type="dxa"/>
              <w:left w:w="420" w:type="dxa"/>
              <w:bottom w:w="55" w:type="dxa"/>
              <w:right w:w="60" w:type="dxa"/>
            </w:tcMar>
          </w:tcPr>
          <w:p>
            <w:pPr>
              <w:pStyle w:val="Normal"/>
              <w:widowControl w:val="false"/>
              <w:rPr/>
            </w:pPr>
            <w:r>
              <w:rPr>
                <w:rFonts w:eastAsia="Courier New" w:cs="Courier New" w:ascii="Courier New" w:hAnsi="Courier New"/>
                <w:b w:val="false"/>
                <w:bCs w:val="false"/>
                <w:color w:val="0D6E8A"/>
                <w:sz w:val="17"/>
                <w:szCs w:val="17"/>
              </w:rPr>
              <w:t>pwm.py</w:t>
            </w:r>
          </w:p>
        </w:tc>
        <w:tc>
          <w:tcPr>
            <w:tcW w:w="5160" w:type="dxa"/>
            <w:tcBorders>
              <w:top w:val="single" w:sz="4" w:space="0" w:color="CCCCCC"/>
              <w:left w:val="single" w:sz="4" w:space="0" w:color="CCCCCC"/>
              <w:bottom w:val="single" w:sz="4" w:space="0" w:color="CCCCCC"/>
              <w:right w:val="single" w:sz="4" w:space="0" w:color="CCCCCC"/>
            </w:tcBorders>
            <w:shd w:fill="F8FAFC" w:val="clear"/>
            <w:tcMar>
              <w:top w:w="55" w:type="dxa"/>
              <w:bottom w:w="55" w:type="dxa"/>
              <w:right w:w="100" w:type="dxa"/>
            </w:tcMar>
          </w:tcPr>
          <w:p>
            <w:pPr>
              <w:pStyle w:val="Normal"/>
              <w:widowControl w:val="false"/>
              <w:rPr/>
            </w:pPr>
            <w:r>
              <w:rPr>
                <w:rFonts w:eastAsia="Arial" w:cs="Arial"/>
                <w:b w:val="false"/>
                <w:bCs w:val="false"/>
                <w:color w:val="1A1A1A"/>
                <w:sz w:val="18"/>
                <w:szCs w:val="18"/>
              </w:rPr>
              <w:t>Position Weight Matrix: log-odds scoring, IC, consensus</w:t>
            </w:r>
          </w:p>
        </w:tc>
      </w:tr>
      <w:tr>
        <w:trPr/>
        <w:tc>
          <w:tcPr>
            <w:tcW w:w="4199" w:type="dxa"/>
            <w:tcBorders>
              <w:top w:val="single" w:sz="4" w:space="0" w:color="CCCCCC"/>
              <w:left w:val="single" w:sz="4" w:space="0" w:color="CCCCCC"/>
              <w:bottom w:val="single" w:sz="4" w:space="0" w:color="CCCCCC"/>
              <w:right w:val="single" w:sz="4" w:space="0" w:color="CCCCCC"/>
            </w:tcBorders>
            <w:shd w:fill="FFFFFF" w:val="clear"/>
            <w:tcMar>
              <w:top w:w="55" w:type="dxa"/>
              <w:left w:w="420" w:type="dxa"/>
              <w:bottom w:w="55" w:type="dxa"/>
              <w:right w:w="60" w:type="dxa"/>
            </w:tcMar>
          </w:tcPr>
          <w:p>
            <w:pPr>
              <w:pStyle w:val="Normal"/>
              <w:widowControl w:val="false"/>
              <w:rPr/>
            </w:pPr>
            <w:r>
              <w:rPr>
                <w:rFonts w:eastAsia="Courier New" w:cs="Courier New" w:ascii="Courier New" w:hAnsi="Courier New"/>
                <w:b w:val="false"/>
                <w:bCs w:val="false"/>
                <w:color w:val="0D6E8A"/>
                <w:sz w:val="17"/>
                <w:szCs w:val="17"/>
              </w:rPr>
              <w:t>preprocess.py</w:t>
            </w:r>
          </w:p>
        </w:tc>
        <w:tc>
          <w:tcPr>
            <w:tcW w:w="5160"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right w:w="100" w:type="dxa"/>
            </w:tcMar>
          </w:tcPr>
          <w:p>
            <w:pPr>
              <w:pStyle w:val="Normal"/>
              <w:widowControl w:val="false"/>
              <w:rPr/>
            </w:pPr>
            <w:r>
              <w:rPr>
                <w:rFonts w:eastAsia="Arial" w:cs="Arial"/>
                <w:b w:val="false"/>
                <w:bCs w:val="false"/>
                <w:color w:val="1A1A1A"/>
                <w:sz w:val="18"/>
                <w:szCs w:val="18"/>
              </w:rPr>
              <w:t>FASTA I/O, sequence cleaning, background freq. estimation</w:t>
            </w:r>
          </w:p>
        </w:tc>
      </w:tr>
      <w:tr>
        <w:trPr/>
        <w:tc>
          <w:tcPr>
            <w:tcW w:w="4199" w:type="dxa"/>
            <w:tcBorders>
              <w:top w:val="single" w:sz="4" w:space="0" w:color="CCCCCC"/>
              <w:left w:val="single" w:sz="4" w:space="0" w:color="CCCCCC"/>
              <w:bottom w:val="single" w:sz="4" w:space="0" w:color="CCCCCC"/>
              <w:right w:val="single" w:sz="4" w:space="0" w:color="CCCCCC"/>
            </w:tcBorders>
            <w:shd w:fill="F8FAFC" w:val="clear"/>
            <w:tcMar>
              <w:top w:w="55" w:type="dxa"/>
              <w:left w:w="420" w:type="dxa"/>
              <w:bottom w:w="55" w:type="dxa"/>
              <w:right w:w="60" w:type="dxa"/>
            </w:tcMar>
          </w:tcPr>
          <w:p>
            <w:pPr>
              <w:pStyle w:val="Normal"/>
              <w:widowControl w:val="false"/>
              <w:rPr/>
            </w:pPr>
            <w:r>
              <w:rPr>
                <w:rFonts w:eastAsia="Courier New" w:cs="Courier New" w:ascii="Courier New" w:hAnsi="Courier New"/>
                <w:b w:val="false"/>
                <w:bCs w:val="false"/>
                <w:color w:val="0D6E8A"/>
                <w:sz w:val="17"/>
                <w:szCs w:val="17"/>
              </w:rPr>
              <w:t>meme_algorithm.py</w:t>
            </w:r>
          </w:p>
        </w:tc>
        <w:tc>
          <w:tcPr>
            <w:tcW w:w="5160" w:type="dxa"/>
            <w:tcBorders>
              <w:top w:val="single" w:sz="4" w:space="0" w:color="CCCCCC"/>
              <w:left w:val="single" w:sz="4" w:space="0" w:color="CCCCCC"/>
              <w:bottom w:val="single" w:sz="4" w:space="0" w:color="CCCCCC"/>
              <w:right w:val="single" w:sz="4" w:space="0" w:color="CCCCCC"/>
            </w:tcBorders>
            <w:shd w:fill="F8FAFC" w:val="clear"/>
            <w:tcMar>
              <w:top w:w="55" w:type="dxa"/>
              <w:bottom w:w="55" w:type="dxa"/>
              <w:right w:w="100" w:type="dxa"/>
            </w:tcMar>
          </w:tcPr>
          <w:p>
            <w:pPr>
              <w:pStyle w:val="Normal"/>
              <w:widowControl w:val="false"/>
              <w:rPr/>
            </w:pPr>
            <w:r>
              <w:rPr>
                <w:rFonts w:eastAsia="Arial" w:cs="Arial"/>
                <w:b w:val="false"/>
                <w:bCs w:val="false"/>
                <w:color w:val="1A1A1A"/>
                <w:sz w:val="18"/>
                <w:szCs w:val="18"/>
              </w:rPr>
              <w:t>MEME EM algorithm: E-step, M-step, ZOOPS, multi-motif</w:t>
            </w:r>
          </w:p>
        </w:tc>
      </w:tr>
      <w:tr>
        <w:trPr/>
        <w:tc>
          <w:tcPr>
            <w:tcW w:w="4199" w:type="dxa"/>
            <w:tcBorders>
              <w:top w:val="single" w:sz="4" w:space="0" w:color="CCCCCC"/>
              <w:left w:val="single" w:sz="4" w:space="0" w:color="CCCCCC"/>
              <w:bottom w:val="single" w:sz="4" w:space="0" w:color="CCCCCC"/>
              <w:right w:val="single" w:sz="4" w:space="0" w:color="CCCCCC"/>
            </w:tcBorders>
            <w:shd w:fill="FFFFFF" w:val="clear"/>
            <w:tcMar>
              <w:top w:w="55" w:type="dxa"/>
              <w:left w:w="420" w:type="dxa"/>
              <w:bottom w:w="55" w:type="dxa"/>
              <w:right w:w="60" w:type="dxa"/>
            </w:tcMar>
          </w:tcPr>
          <w:p>
            <w:pPr>
              <w:pStyle w:val="Normal"/>
              <w:widowControl w:val="false"/>
              <w:rPr/>
            </w:pPr>
            <w:r>
              <w:rPr>
                <w:rFonts w:eastAsia="Courier New" w:cs="Courier New" w:ascii="Courier New" w:hAnsi="Courier New"/>
                <w:b w:val="false"/>
                <w:bCs w:val="false"/>
                <w:color w:val="0D6E8A"/>
                <w:sz w:val="17"/>
                <w:szCs w:val="17"/>
              </w:rPr>
              <w:t>gibbs_sampling.py</w:t>
            </w:r>
          </w:p>
        </w:tc>
        <w:tc>
          <w:tcPr>
            <w:tcW w:w="5160"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right w:w="100" w:type="dxa"/>
            </w:tcMar>
          </w:tcPr>
          <w:p>
            <w:pPr>
              <w:pStyle w:val="Normal"/>
              <w:widowControl w:val="false"/>
              <w:rPr/>
            </w:pPr>
            <w:r>
              <w:rPr>
                <w:rFonts w:eastAsia="Arial" w:cs="Arial"/>
                <w:b w:val="false"/>
                <w:bCs w:val="false"/>
                <w:color w:val="1A1A1A"/>
                <w:sz w:val="18"/>
                <w:szCs w:val="18"/>
              </w:rPr>
              <w:t>Gibbs Sampler: leave-one-out, softmax sampling, multi-start</w:t>
            </w:r>
          </w:p>
        </w:tc>
      </w:tr>
      <w:tr>
        <w:trPr/>
        <w:tc>
          <w:tcPr>
            <w:tcW w:w="4199" w:type="dxa"/>
            <w:tcBorders>
              <w:top w:val="single" w:sz="4" w:space="0" w:color="CCCCCC"/>
              <w:left w:val="single" w:sz="4" w:space="0" w:color="CCCCCC"/>
              <w:bottom w:val="single" w:sz="4" w:space="0" w:color="CCCCCC"/>
              <w:right w:val="single" w:sz="4" w:space="0" w:color="CCCCCC"/>
            </w:tcBorders>
            <w:shd w:fill="F8FAFC" w:val="clear"/>
            <w:tcMar>
              <w:top w:w="55" w:type="dxa"/>
              <w:left w:w="420" w:type="dxa"/>
              <w:bottom w:w="55" w:type="dxa"/>
              <w:right w:w="60" w:type="dxa"/>
            </w:tcMar>
          </w:tcPr>
          <w:p>
            <w:pPr>
              <w:pStyle w:val="Normal"/>
              <w:widowControl w:val="false"/>
              <w:rPr/>
            </w:pPr>
            <w:r>
              <w:rPr>
                <w:rFonts w:eastAsia="Courier New" w:cs="Courier New" w:ascii="Courier New" w:hAnsi="Courier New"/>
                <w:b w:val="false"/>
                <w:bCs w:val="false"/>
                <w:color w:val="0D6E8A"/>
                <w:sz w:val="17"/>
                <w:szCs w:val="17"/>
              </w:rPr>
              <w:t>evaluate.py</w:t>
            </w:r>
          </w:p>
        </w:tc>
        <w:tc>
          <w:tcPr>
            <w:tcW w:w="5160" w:type="dxa"/>
            <w:tcBorders>
              <w:top w:val="single" w:sz="4" w:space="0" w:color="CCCCCC"/>
              <w:left w:val="single" w:sz="4" w:space="0" w:color="CCCCCC"/>
              <w:bottom w:val="single" w:sz="4" w:space="0" w:color="CCCCCC"/>
              <w:right w:val="single" w:sz="4" w:space="0" w:color="CCCCCC"/>
            </w:tcBorders>
            <w:shd w:fill="F8FAFC" w:val="clear"/>
            <w:tcMar>
              <w:top w:w="55" w:type="dxa"/>
              <w:bottom w:w="55" w:type="dxa"/>
              <w:right w:w="100" w:type="dxa"/>
            </w:tcMar>
          </w:tcPr>
          <w:p>
            <w:pPr>
              <w:pStyle w:val="Normal"/>
              <w:widowControl w:val="false"/>
              <w:rPr/>
            </w:pPr>
            <w:r>
              <w:rPr>
                <w:rFonts w:eastAsia="Arial" w:cs="Arial"/>
                <w:b w:val="false"/>
                <w:bCs w:val="false"/>
                <w:color w:val="1A1A1A"/>
                <w:sz w:val="18"/>
                <w:szCs w:val="18"/>
              </w:rPr>
              <w:t>Sensitivity, PPV, F1, nCC, site accuracy metrics</w:t>
            </w:r>
          </w:p>
        </w:tc>
      </w:tr>
      <w:tr>
        <w:trPr/>
        <w:tc>
          <w:tcPr>
            <w:tcW w:w="4199" w:type="dxa"/>
            <w:tcBorders>
              <w:top w:val="single" w:sz="4" w:space="0" w:color="CCCCCC"/>
              <w:left w:val="single" w:sz="4" w:space="0" w:color="CCCCCC"/>
              <w:bottom w:val="single" w:sz="4" w:space="0" w:color="CCCCCC"/>
              <w:right w:val="single" w:sz="4" w:space="0" w:color="CCCCCC"/>
            </w:tcBorders>
            <w:shd w:fill="FFFFFF" w:val="clear"/>
            <w:tcMar>
              <w:top w:w="55" w:type="dxa"/>
              <w:left w:w="420" w:type="dxa"/>
              <w:bottom w:w="55" w:type="dxa"/>
              <w:right w:w="60" w:type="dxa"/>
            </w:tcMar>
          </w:tcPr>
          <w:p>
            <w:pPr>
              <w:pStyle w:val="Normal"/>
              <w:widowControl w:val="false"/>
              <w:rPr/>
            </w:pPr>
            <w:r>
              <w:rPr>
                <w:rFonts w:eastAsia="Courier New" w:cs="Courier New" w:ascii="Courier New" w:hAnsi="Courier New"/>
                <w:b w:val="false"/>
                <w:bCs w:val="false"/>
                <w:color w:val="0D6E8A"/>
                <w:sz w:val="17"/>
                <w:szCs w:val="17"/>
              </w:rPr>
              <w:t>visualize.py</w:t>
            </w:r>
          </w:p>
        </w:tc>
        <w:tc>
          <w:tcPr>
            <w:tcW w:w="5160"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right w:w="100" w:type="dxa"/>
            </w:tcMar>
          </w:tcPr>
          <w:p>
            <w:pPr>
              <w:pStyle w:val="Normal"/>
              <w:widowControl w:val="false"/>
              <w:rPr/>
            </w:pPr>
            <w:r>
              <w:rPr>
                <w:rFonts w:eastAsia="Arial" w:cs="Arial"/>
                <w:b w:val="false"/>
                <w:bCs w:val="false"/>
                <w:color w:val="1A1A1A"/>
                <w:sz w:val="18"/>
                <w:szCs w:val="18"/>
              </w:rPr>
              <w:t>Sequence logos, PWM heatmaps, convergence &amp; comparison plots</w:t>
            </w:r>
          </w:p>
        </w:tc>
      </w:tr>
      <w:tr>
        <w:trPr/>
        <w:tc>
          <w:tcPr>
            <w:tcW w:w="4199" w:type="dxa"/>
            <w:tcBorders>
              <w:top w:val="single" w:sz="4" w:space="0" w:color="CCCCCC"/>
              <w:left w:val="single" w:sz="4" w:space="0" w:color="CCCCCC"/>
              <w:bottom w:val="single" w:sz="4" w:space="0" w:color="CCCCCC"/>
              <w:right w:val="single" w:sz="4" w:space="0" w:color="CCCCCC"/>
            </w:tcBorders>
            <w:shd w:fill="F8FAFC" w:val="clear"/>
            <w:tcMar>
              <w:top w:w="55" w:type="dxa"/>
              <w:left w:w="420" w:type="dxa"/>
              <w:bottom w:w="55" w:type="dxa"/>
              <w:right w:w="60" w:type="dxa"/>
            </w:tcMar>
          </w:tcPr>
          <w:p>
            <w:pPr>
              <w:pStyle w:val="Normal"/>
              <w:widowControl w:val="false"/>
              <w:rPr/>
            </w:pPr>
            <w:r>
              <w:rPr>
                <w:rFonts w:eastAsia="Courier New" w:cs="Courier New" w:ascii="Courier New" w:hAnsi="Courier New"/>
                <w:b w:val="false"/>
                <w:bCs w:val="false"/>
                <w:color w:val="0D6E8A"/>
                <w:sz w:val="17"/>
                <w:szCs w:val="17"/>
              </w:rPr>
              <w:t>run_real_analysis.py</w:t>
            </w:r>
          </w:p>
        </w:tc>
        <w:tc>
          <w:tcPr>
            <w:tcW w:w="5160" w:type="dxa"/>
            <w:tcBorders>
              <w:top w:val="single" w:sz="4" w:space="0" w:color="CCCCCC"/>
              <w:left w:val="single" w:sz="4" w:space="0" w:color="CCCCCC"/>
              <w:bottom w:val="single" w:sz="4" w:space="0" w:color="CCCCCC"/>
              <w:right w:val="single" w:sz="4" w:space="0" w:color="CCCCCC"/>
            </w:tcBorders>
            <w:shd w:fill="F8FAFC" w:val="clear"/>
            <w:tcMar>
              <w:top w:w="55" w:type="dxa"/>
              <w:bottom w:w="55" w:type="dxa"/>
              <w:right w:w="100" w:type="dxa"/>
            </w:tcMar>
          </w:tcPr>
          <w:p>
            <w:pPr>
              <w:pStyle w:val="Normal"/>
              <w:widowControl w:val="false"/>
              <w:rPr/>
            </w:pPr>
            <w:r>
              <w:rPr>
                <w:rFonts w:eastAsia="Arial" w:cs="Arial"/>
                <w:b w:val="false"/>
                <w:bCs w:val="false"/>
                <w:color w:val="1A1A1A"/>
                <w:sz w:val="18"/>
                <w:szCs w:val="18"/>
              </w:rPr>
              <w:t>End-to-end pipeline for real JASPAR + synthetic datasets</w:t>
            </w:r>
          </w:p>
        </w:tc>
      </w:tr>
      <w:tr>
        <w:trPr/>
        <w:tc>
          <w:tcPr>
            <w:tcW w:w="4199" w:type="dxa"/>
            <w:tcBorders>
              <w:top w:val="single" w:sz="4" w:space="0" w:color="CCCCCC"/>
              <w:left w:val="single" w:sz="4" w:space="0" w:color="CCCCCC"/>
              <w:bottom w:val="single" w:sz="4" w:space="0" w:color="CCCCCC"/>
              <w:right w:val="single" w:sz="4" w:space="0" w:color="CCCCCC"/>
            </w:tcBorders>
            <w:shd w:fill="FFFFFF" w:val="clear"/>
            <w:tcMar>
              <w:top w:w="55" w:type="dxa"/>
              <w:left w:w="420" w:type="dxa"/>
              <w:bottom w:w="55" w:type="dxa"/>
              <w:right w:w="60" w:type="dxa"/>
            </w:tcMar>
          </w:tcPr>
          <w:p>
            <w:pPr>
              <w:pStyle w:val="Normal"/>
              <w:widowControl w:val="false"/>
              <w:rPr/>
            </w:pPr>
            <w:r>
              <w:rPr>
                <w:rFonts w:eastAsia="Courier New" w:cs="Courier New" w:ascii="Courier New" w:hAnsi="Courier New"/>
                <w:b w:val="false"/>
                <w:bCs w:val="false"/>
                <w:color w:val="0D6E8A"/>
                <w:sz w:val="17"/>
                <w:szCs w:val="17"/>
              </w:rPr>
              <w:t>run_human_analysis.py</w:t>
            </w:r>
          </w:p>
        </w:tc>
        <w:tc>
          <w:tcPr>
            <w:tcW w:w="5160"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right w:w="100" w:type="dxa"/>
            </w:tcMar>
          </w:tcPr>
          <w:p>
            <w:pPr>
              <w:pStyle w:val="Normal"/>
              <w:widowControl w:val="false"/>
              <w:rPr/>
            </w:pPr>
            <w:r>
              <w:rPr>
                <w:rFonts w:eastAsia="Arial" w:cs="Arial"/>
                <w:b w:val="false"/>
                <w:bCs w:val="false"/>
                <w:color w:val="1A1A1A"/>
                <w:sz w:val="18"/>
                <w:szCs w:val="18"/>
              </w:rPr>
              <w:t>Pipeline for human vertebrate TF datasets</w:t>
            </w:r>
          </w:p>
        </w:tc>
      </w:tr>
      <w:tr>
        <w:trPr/>
        <w:tc>
          <w:tcPr>
            <w:tcW w:w="4199" w:type="dxa"/>
            <w:tcBorders>
              <w:top w:val="single" w:sz="4" w:space="0" w:color="CCCCCC"/>
              <w:left w:val="single" w:sz="4" w:space="0" w:color="CCCCCC"/>
              <w:bottom w:val="single" w:sz="4" w:space="0" w:color="CCCCCC"/>
              <w:right w:val="single" w:sz="4" w:space="0" w:color="CCCCCC"/>
            </w:tcBorders>
            <w:shd w:fill="F8FAFC" w:val="clear"/>
            <w:tcMar>
              <w:top w:w="55" w:type="dxa"/>
              <w:left w:w="420" w:type="dxa"/>
              <w:bottom w:w="55" w:type="dxa"/>
              <w:right w:w="60" w:type="dxa"/>
            </w:tcMar>
          </w:tcPr>
          <w:p>
            <w:pPr>
              <w:pStyle w:val="Normal"/>
              <w:widowControl w:val="false"/>
              <w:rPr/>
            </w:pPr>
            <w:r>
              <w:rPr>
                <w:rFonts w:eastAsia="Courier New" w:cs="Courier New" w:ascii="Courier New" w:hAnsi="Courier New"/>
                <w:b w:val="false"/>
                <w:bCs w:val="false"/>
                <w:color w:val="0D6E8A"/>
                <w:sz w:val="17"/>
                <w:szCs w:val="17"/>
              </w:rPr>
              <w:t>run_analysis.py</w:t>
            </w:r>
          </w:p>
        </w:tc>
        <w:tc>
          <w:tcPr>
            <w:tcW w:w="5160" w:type="dxa"/>
            <w:tcBorders>
              <w:top w:val="single" w:sz="4" w:space="0" w:color="CCCCCC"/>
              <w:left w:val="single" w:sz="4" w:space="0" w:color="CCCCCC"/>
              <w:bottom w:val="single" w:sz="4" w:space="0" w:color="CCCCCC"/>
              <w:right w:val="single" w:sz="4" w:space="0" w:color="CCCCCC"/>
            </w:tcBorders>
            <w:shd w:fill="F8FAFC" w:val="clear"/>
            <w:tcMar>
              <w:top w:w="55" w:type="dxa"/>
              <w:bottom w:w="55" w:type="dxa"/>
              <w:right w:w="100" w:type="dxa"/>
            </w:tcMar>
          </w:tcPr>
          <w:p>
            <w:pPr>
              <w:pStyle w:val="Normal"/>
              <w:widowControl w:val="false"/>
              <w:rPr/>
            </w:pPr>
            <w:r>
              <w:rPr>
                <w:rFonts w:eastAsia="Arial" w:cs="Arial"/>
                <w:b w:val="false"/>
                <w:bCs w:val="false"/>
                <w:color w:val="1A1A1A"/>
                <w:sz w:val="18"/>
                <w:szCs w:val="18"/>
              </w:rPr>
              <w:t>Pipeline for synthetic benchmark evaluation</w:t>
            </w:r>
          </w:p>
        </w:tc>
      </w:tr>
      <w:tr>
        <w:trPr/>
        <w:tc>
          <w:tcPr>
            <w:tcW w:w="4199" w:type="dxa"/>
            <w:tcBorders>
              <w:top w:val="single" w:sz="4" w:space="0" w:color="CCCCCC"/>
              <w:left w:val="single" w:sz="4" w:space="0" w:color="CCCCCC"/>
              <w:bottom w:val="single" w:sz="4" w:space="0" w:color="CCCCCC"/>
              <w:right w:val="single" w:sz="4" w:space="0" w:color="CCCCCC"/>
            </w:tcBorders>
            <w:shd w:fill="EFF6FF" w:val="clear"/>
            <w:tcMar>
              <w:top w:w="55" w:type="dxa"/>
              <w:left w:w="260" w:type="dxa"/>
              <w:bottom w:w="55" w:type="dxa"/>
              <w:right w:w="60" w:type="dxa"/>
            </w:tcMar>
          </w:tcPr>
          <w:p>
            <w:pPr>
              <w:pStyle w:val="Normal"/>
              <w:widowControl w:val="false"/>
              <w:rPr/>
            </w:pPr>
            <w:r>
              <w:rPr>
                <w:rFonts w:eastAsia="Courier New" w:cs="Courier New" w:ascii="Courier New" w:hAnsi="Courier New"/>
                <w:b/>
                <w:bCs/>
                <w:color w:val="1E3A5F"/>
                <w:sz w:val="17"/>
                <w:szCs w:val="17"/>
              </w:rPr>
              <w:t>results/real/</w:t>
            </w:r>
          </w:p>
        </w:tc>
        <w:tc>
          <w:tcPr>
            <w:tcW w:w="5160" w:type="dxa"/>
            <w:tcBorders>
              <w:top w:val="single" w:sz="4" w:space="0" w:color="CCCCCC"/>
              <w:left w:val="single" w:sz="4" w:space="0" w:color="CCCCCC"/>
              <w:bottom w:val="single" w:sz="4" w:space="0" w:color="CCCCCC"/>
              <w:right w:val="single" w:sz="4" w:space="0" w:color="CCCCCC"/>
            </w:tcBorders>
            <w:shd w:fill="EFF6FF" w:val="clear"/>
            <w:tcMar>
              <w:top w:w="55" w:type="dxa"/>
              <w:bottom w:w="55" w:type="dxa"/>
              <w:right w:w="100" w:type="dxa"/>
            </w:tcMar>
          </w:tcPr>
          <w:p>
            <w:pPr>
              <w:pStyle w:val="Normal"/>
              <w:widowControl w:val="false"/>
              <w:rPr/>
            </w:pPr>
            <w:r>
              <w:rPr>
                <w:rFonts w:eastAsia="Arial" w:cs="Arial"/>
                <w:b/>
                <w:bCs/>
                <w:color w:val="1E3A5F"/>
                <w:sz w:val="18"/>
                <w:szCs w:val="18"/>
              </w:rPr>
              <w:t>All output plots and results for real data runs</w:t>
            </w:r>
          </w:p>
        </w:tc>
      </w:tr>
      <w:tr>
        <w:trPr/>
        <w:tc>
          <w:tcPr>
            <w:tcW w:w="4199" w:type="dxa"/>
            <w:tcBorders>
              <w:top w:val="single" w:sz="4" w:space="0" w:color="CCCCCC"/>
              <w:left w:val="single" w:sz="4" w:space="0" w:color="CCCCCC"/>
              <w:bottom w:val="single" w:sz="4" w:space="0" w:color="CCCCCC"/>
              <w:right w:val="single" w:sz="4" w:space="0" w:color="CCCCCC"/>
            </w:tcBorders>
            <w:shd w:fill="F8FAFC" w:val="clear"/>
            <w:tcMar>
              <w:top w:w="55" w:type="dxa"/>
              <w:left w:w="420" w:type="dxa"/>
              <w:bottom w:w="55" w:type="dxa"/>
              <w:right w:w="60" w:type="dxa"/>
            </w:tcMar>
          </w:tcPr>
          <w:p>
            <w:pPr>
              <w:pStyle w:val="Normal"/>
              <w:widowControl w:val="false"/>
              <w:rPr/>
            </w:pPr>
            <w:r>
              <w:rPr>
                <w:rFonts w:eastAsia="Courier New" w:cs="Courier New" w:ascii="Courier New" w:hAnsi="Courier New"/>
                <w:b w:val="false"/>
                <w:bCs w:val="false"/>
                <w:color w:val="0D6E8A"/>
                <w:sz w:val="17"/>
                <w:szCs w:val="17"/>
              </w:rPr>
              <w:t>logo_meme_*.png</w:t>
            </w:r>
          </w:p>
        </w:tc>
        <w:tc>
          <w:tcPr>
            <w:tcW w:w="5160" w:type="dxa"/>
            <w:tcBorders>
              <w:top w:val="single" w:sz="4" w:space="0" w:color="CCCCCC"/>
              <w:left w:val="single" w:sz="4" w:space="0" w:color="CCCCCC"/>
              <w:bottom w:val="single" w:sz="4" w:space="0" w:color="CCCCCC"/>
              <w:right w:val="single" w:sz="4" w:space="0" w:color="CCCCCC"/>
            </w:tcBorders>
            <w:shd w:fill="F8FAFC" w:val="clear"/>
            <w:tcMar>
              <w:top w:w="55" w:type="dxa"/>
              <w:bottom w:w="55" w:type="dxa"/>
              <w:right w:w="100" w:type="dxa"/>
            </w:tcMar>
          </w:tcPr>
          <w:p>
            <w:pPr>
              <w:pStyle w:val="Normal"/>
              <w:widowControl w:val="false"/>
              <w:rPr/>
            </w:pPr>
            <w:r>
              <w:rPr>
                <w:rFonts w:eastAsia="Arial" w:cs="Arial"/>
                <w:b w:val="false"/>
                <w:bCs w:val="false"/>
                <w:color w:val="1A1A1A"/>
                <w:sz w:val="18"/>
                <w:szCs w:val="18"/>
              </w:rPr>
              <w:t>MEME sequence logos — one per dataset (11 files)</w:t>
            </w:r>
          </w:p>
        </w:tc>
      </w:tr>
      <w:tr>
        <w:trPr/>
        <w:tc>
          <w:tcPr>
            <w:tcW w:w="4199" w:type="dxa"/>
            <w:tcBorders>
              <w:top w:val="single" w:sz="4" w:space="0" w:color="CCCCCC"/>
              <w:left w:val="single" w:sz="4" w:space="0" w:color="CCCCCC"/>
              <w:bottom w:val="single" w:sz="4" w:space="0" w:color="CCCCCC"/>
              <w:right w:val="single" w:sz="4" w:space="0" w:color="CCCCCC"/>
            </w:tcBorders>
            <w:shd w:fill="FFFFFF" w:val="clear"/>
            <w:tcMar>
              <w:top w:w="55" w:type="dxa"/>
              <w:left w:w="420" w:type="dxa"/>
              <w:bottom w:w="55" w:type="dxa"/>
              <w:right w:w="60" w:type="dxa"/>
            </w:tcMar>
          </w:tcPr>
          <w:p>
            <w:pPr>
              <w:pStyle w:val="Normal"/>
              <w:widowControl w:val="false"/>
              <w:rPr/>
            </w:pPr>
            <w:r>
              <w:rPr>
                <w:rFonts w:eastAsia="Courier New" w:cs="Courier New" w:ascii="Courier New" w:hAnsi="Courier New"/>
                <w:b w:val="false"/>
                <w:bCs w:val="false"/>
                <w:color w:val="0D6E8A"/>
                <w:sz w:val="17"/>
                <w:szCs w:val="17"/>
              </w:rPr>
              <w:t>logo_gibbs_*.png</w:t>
            </w:r>
          </w:p>
        </w:tc>
        <w:tc>
          <w:tcPr>
            <w:tcW w:w="5160"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right w:w="100" w:type="dxa"/>
            </w:tcMar>
          </w:tcPr>
          <w:p>
            <w:pPr>
              <w:pStyle w:val="Normal"/>
              <w:widowControl w:val="false"/>
              <w:rPr/>
            </w:pPr>
            <w:r>
              <w:rPr>
                <w:rFonts w:eastAsia="Arial" w:cs="Arial"/>
                <w:b w:val="false"/>
                <w:bCs w:val="false"/>
                <w:color w:val="1A1A1A"/>
                <w:sz w:val="18"/>
                <w:szCs w:val="18"/>
              </w:rPr>
              <w:t>Gibbs sequence logos — one per dataset (11 files)</w:t>
            </w:r>
          </w:p>
        </w:tc>
      </w:tr>
      <w:tr>
        <w:trPr/>
        <w:tc>
          <w:tcPr>
            <w:tcW w:w="4199" w:type="dxa"/>
            <w:tcBorders>
              <w:top w:val="single" w:sz="4" w:space="0" w:color="CCCCCC"/>
              <w:left w:val="single" w:sz="4" w:space="0" w:color="CCCCCC"/>
              <w:bottom w:val="single" w:sz="4" w:space="0" w:color="CCCCCC"/>
              <w:right w:val="single" w:sz="4" w:space="0" w:color="CCCCCC"/>
            </w:tcBorders>
            <w:shd w:fill="F8FAFC" w:val="clear"/>
            <w:tcMar>
              <w:top w:w="55" w:type="dxa"/>
              <w:left w:w="420" w:type="dxa"/>
              <w:bottom w:w="55" w:type="dxa"/>
              <w:right w:w="60" w:type="dxa"/>
            </w:tcMar>
          </w:tcPr>
          <w:p>
            <w:pPr>
              <w:pStyle w:val="Normal"/>
              <w:widowControl w:val="false"/>
              <w:rPr/>
            </w:pPr>
            <w:r>
              <w:rPr>
                <w:rFonts w:eastAsia="Courier New" w:cs="Courier New" w:ascii="Courier New" w:hAnsi="Courier New"/>
                <w:b w:val="false"/>
                <w:bCs w:val="false"/>
                <w:color w:val="0D6E8A"/>
                <w:sz w:val="17"/>
                <w:szCs w:val="17"/>
              </w:rPr>
              <w:t>heatmap_*.png</w:t>
            </w:r>
          </w:p>
        </w:tc>
        <w:tc>
          <w:tcPr>
            <w:tcW w:w="5160" w:type="dxa"/>
            <w:tcBorders>
              <w:top w:val="single" w:sz="4" w:space="0" w:color="CCCCCC"/>
              <w:left w:val="single" w:sz="4" w:space="0" w:color="CCCCCC"/>
              <w:bottom w:val="single" w:sz="4" w:space="0" w:color="CCCCCC"/>
              <w:right w:val="single" w:sz="4" w:space="0" w:color="CCCCCC"/>
            </w:tcBorders>
            <w:shd w:fill="F8FAFC" w:val="clear"/>
            <w:tcMar>
              <w:top w:w="55" w:type="dxa"/>
              <w:bottom w:w="55" w:type="dxa"/>
              <w:right w:w="100" w:type="dxa"/>
            </w:tcMar>
          </w:tcPr>
          <w:p>
            <w:pPr>
              <w:pStyle w:val="Normal"/>
              <w:widowControl w:val="false"/>
              <w:rPr/>
            </w:pPr>
            <w:r>
              <w:rPr>
                <w:rFonts w:eastAsia="Arial" w:cs="Arial"/>
                <w:b w:val="false"/>
                <w:bCs w:val="false"/>
                <w:color w:val="1A1A1A"/>
                <w:sz w:val="18"/>
                <w:szCs w:val="18"/>
              </w:rPr>
              <w:t>PWM frequency heatmaps — one per dataset (11 files)</w:t>
            </w:r>
          </w:p>
        </w:tc>
      </w:tr>
      <w:tr>
        <w:trPr/>
        <w:tc>
          <w:tcPr>
            <w:tcW w:w="4199" w:type="dxa"/>
            <w:tcBorders>
              <w:top w:val="single" w:sz="4" w:space="0" w:color="CCCCCC"/>
              <w:left w:val="single" w:sz="4" w:space="0" w:color="CCCCCC"/>
              <w:bottom w:val="single" w:sz="4" w:space="0" w:color="CCCCCC"/>
              <w:right w:val="single" w:sz="4" w:space="0" w:color="CCCCCC"/>
            </w:tcBorders>
            <w:shd w:fill="FFFFFF" w:val="clear"/>
            <w:tcMar>
              <w:top w:w="55" w:type="dxa"/>
              <w:left w:w="420" w:type="dxa"/>
              <w:bottom w:w="55" w:type="dxa"/>
              <w:right w:w="60" w:type="dxa"/>
            </w:tcMar>
          </w:tcPr>
          <w:p>
            <w:pPr>
              <w:pStyle w:val="Normal"/>
              <w:widowControl w:val="false"/>
              <w:rPr/>
            </w:pPr>
            <w:r>
              <w:rPr>
                <w:rFonts w:eastAsia="Courier New" w:cs="Courier New" w:ascii="Courier New" w:hAnsi="Courier New"/>
                <w:b w:val="false"/>
                <w:bCs w:val="false"/>
                <w:color w:val="0D6E8A"/>
                <w:sz w:val="17"/>
                <w:szCs w:val="17"/>
              </w:rPr>
              <w:t>convergence_*.png</w:t>
            </w:r>
          </w:p>
        </w:tc>
        <w:tc>
          <w:tcPr>
            <w:tcW w:w="5160"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right w:w="100" w:type="dxa"/>
            </w:tcMar>
          </w:tcPr>
          <w:p>
            <w:pPr>
              <w:pStyle w:val="Normal"/>
              <w:widowControl w:val="false"/>
              <w:rPr/>
            </w:pPr>
            <w:r>
              <w:rPr>
                <w:rFonts w:eastAsia="Arial" w:cs="Arial"/>
                <w:b w:val="false"/>
                <w:bCs w:val="false"/>
                <w:color w:val="1A1A1A"/>
                <w:sz w:val="18"/>
                <w:szCs w:val="18"/>
              </w:rPr>
              <w:t>Gibbs convergence curves — one per dataset (11 files)</w:t>
            </w:r>
          </w:p>
        </w:tc>
      </w:tr>
      <w:tr>
        <w:trPr/>
        <w:tc>
          <w:tcPr>
            <w:tcW w:w="4199" w:type="dxa"/>
            <w:tcBorders>
              <w:top w:val="single" w:sz="4" w:space="0" w:color="CCCCCC"/>
              <w:left w:val="single" w:sz="4" w:space="0" w:color="CCCCCC"/>
              <w:bottom w:val="single" w:sz="4" w:space="0" w:color="CCCCCC"/>
              <w:right w:val="single" w:sz="4" w:space="0" w:color="CCCCCC"/>
            </w:tcBorders>
            <w:shd w:fill="F8FAFC" w:val="clear"/>
            <w:tcMar>
              <w:top w:w="55" w:type="dxa"/>
              <w:left w:w="420" w:type="dxa"/>
              <w:bottom w:w="55" w:type="dxa"/>
              <w:right w:w="60" w:type="dxa"/>
            </w:tcMar>
          </w:tcPr>
          <w:p>
            <w:pPr>
              <w:pStyle w:val="Normal"/>
              <w:widowControl w:val="false"/>
              <w:rPr/>
            </w:pPr>
            <w:r>
              <w:rPr>
                <w:rFonts w:eastAsia="Courier New" w:cs="Courier New" w:ascii="Courier New" w:hAnsi="Courier New"/>
                <w:b w:val="false"/>
                <w:bCs w:val="false"/>
                <w:color w:val="0D6E8A"/>
                <w:sz w:val="17"/>
                <w:szCs w:val="17"/>
              </w:rPr>
              <w:t>comparison_ALL_ic.png</w:t>
            </w:r>
          </w:p>
        </w:tc>
        <w:tc>
          <w:tcPr>
            <w:tcW w:w="5160" w:type="dxa"/>
            <w:tcBorders>
              <w:top w:val="single" w:sz="4" w:space="0" w:color="CCCCCC"/>
              <w:left w:val="single" w:sz="4" w:space="0" w:color="CCCCCC"/>
              <w:bottom w:val="single" w:sz="4" w:space="0" w:color="CCCCCC"/>
              <w:right w:val="single" w:sz="4" w:space="0" w:color="CCCCCC"/>
            </w:tcBorders>
            <w:shd w:fill="F8FAFC" w:val="clear"/>
            <w:tcMar>
              <w:top w:w="55" w:type="dxa"/>
              <w:bottom w:w="55" w:type="dxa"/>
              <w:right w:w="100" w:type="dxa"/>
            </w:tcMar>
          </w:tcPr>
          <w:p>
            <w:pPr>
              <w:pStyle w:val="Normal"/>
              <w:widowControl w:val="false"/>
              <w:rPr/>
            </w:pPr>
            <w:r>
              <w:rPr>
                <w:rFonts w:eastAsia="Arial" w:cs="Arial"/>
                <w:b w:val="false"/>
                <w:bCs w:val="false"/>
                <w:color w:val="1A1A1A"/>
                <w:sz w:val="18"/>
                <w:szCs w:val="18"/>
              </w:rPr>
              <w:t>Master IC comparison bar chart across all 11 datasets</w:t>
            </w:r>
          </w:p>
        </w:tc>
      </w:tr>
      <w:tr>
        <w:trPr/>
        <w:tc>
          <w:tcPr>
            <w:tcW w:w="4199" w:type="dxa"/>
            <w:tcBorders>
              <w:top w:val="single" w:sz="4" w:space="0" w:color="CCCCCC"/>
              <w:left w:val="single" w:sz="4" w:space="0" w:color="CCCCCC"/>
              <w:bottom w:val="single" w:sz="4" w:space="0" w:color="CCCCCC"/>
              <w:right w:val="single" w:sz="4" w:space="0" w:color="CCCCCC"/>
            </w:tcBorders>
            <w:shd w:fill="FFFFFF" w:val="clear"/>
            <w:tcMar>
              <w:top w:w="55" w:type="dxa"/>
              <w:left w:w="420" w:type="dxa"/>
              <w:bottom w:w="55" w:type="dxa"/>
              <w:right w:w="60" w:type="dxa"/>
            </w:tcMar>
          </w:tcPr>
          <w:p>
            <w:pPr>
              <w:pStyle w:val="Normal"/>
              <w:widowControl w:val="false"/>
              <w:rPr/>
            </w:pPr>
            <w:r>
              <w:rPr>
                <w:rFonts w:eastAsia="Courier New" w:cs="Courier New" w:ascii="Courier New" w:hAnsi="Courier New"/>
                <w:b w:val="false"/>
                <w:bCs w:val="false"/>
                <w:color w:val="0D6E8A"/>
                <w:sz w:val="17"/>
                <w:szCs w:val="17"/>
              </w:rPr>
              <w:t>results_real.json</w:t>
            </w:r>
          </w:p>
        </w:tc>
        <w:tc>
          <w:tcPr>
            <w:tcW w:w="5160"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right w:w="100" w:type="dxa"/>
            </w:tcMar>
          </w:tcPr>
          <w:p>
            <w:pPr>
              <w:pStyle w:val="Normal"/>
              <w:widowControl w:val="false"/>
              <w:rPr/>
            </w:pPr>
            <w:r>
              <w:rPr>
                <w:rFonts w:eastAsia="Arial" w:cs="Arial"/>
                <w:b w:val="false"/>
                <w:bCs w:val="false"/>
                <w:color w:val="1A1A1A"/>
                <w:sz w:val="18"/>
                <w:szCs w:val="18"/>
              </w:rPr>
              <w:t>Machine-readable results (consensus, IC, E-value per dataset)</w:t>
            </w:r>
          </w:p>
        </w:tc>
      </w:tr>
      <w:tr>
        <w:trPr/>
        <w:tc>
          <w:tcPr>
            <w:tcW w:w="4199" w:type="dxa"/>
            <w:tcBorders>
              <w:top w:val="single" w:sz="4" w:space="0" w:color="CCCCCC"/>
              <w:left w:val="single" w:sz="4" w:space="0" w:color="CCCCCC"/>
              <w:bottom w:val="single" w:sz="4" w:space="0" w:color="CCCCCC"/>
              <w:right w:val="single" w:sz="4" w:space="0" w:color="CCCCCC"/>
            </w:tcBorders>
            <w:shd w:fill="F8FAFC" w:val="clear"/>
            <w:tcMar>
              <w:top w:w="55" w:type="dxa"/>
              <w:left w:w="260" w:type="dxa"/>
              <w:bottom w:w="55" w:type="dxa"/>
              <w:right w:w="60" w:type="dxa"/>
            </w:tcMar>
          </w:tcPr>
          <w:p>
            <w:pPr>
              <w:pStyle w:val="Normal"/>
              <w:widowControl w:val="false"/>
              <w:rPr/>
            </w:pPr>
            <w:r>
              <w:rPr>
                <w:rFonts w:eastAsia="Courier New" w:cs="Courier New" w:ascii="Courier New" w:hAnsi="Courier New"/>
                <w:b w:val="false"/>
                <w:bCs w:val="false"/>
                <w:color w:val="0D6E8A"/>
                <w:sz w:val="17"/>
                <w:szCs w:val="17"/>
              </w:rPr>
              <w:t>results/*.png</w:t>
            </w:r>
          </w:p>
        </w:tc>
        <w:tc>
          <w:tcPr>
            <w:tcW w:w="5160" w:type="dxa"/>
            <w:tcBorders>
              <w:top w:val="single" w:sz="4" w:space="0" w:color="CCCCCC"/>
              <w:left w:val="single" w:sz="4" w:space="0" w:color="CCCCCC"/>
              <w:bottom w:val="single" w:sz="4" w:space="0" w:color="CCCCCC"/>
              <w:right w:val="single" w:sz="4" w:space="0" w:color="CCCCCC"/>
            </w:tcBorders>
            <w:shd w:fill="F8FAFC" w:val="clear"/>
            <w:tcMar>
              <w:top w:w="55" w:type="dxa"/>
              <w:bottom w:w="55" w:type="dxa"/>
              <w:right w:w="100" w:type="dxa"/>
            </w:tcMar>
          </w:tcPr>
          <w:p>
            <w:pPr>
              <w:pStyle w:val="Normal"/>
              <w:widowControl w:val="false"/>
              <w:rPr/>
            </w:pPr>
            <w:r>
              <w:rPr>
                <w:rFonts w:eastAsia="Arial" w:cs="Arial"/>
                <w:b w:val="false"/>
                <w:bCs w:val="false"/>
                <w:color w:val="1A1A1A"/>
                <w:sz w:val="18"/>
                <w:szCs w:val="18"/>
              </w:rPr>
              <w:t>Synthetic benchmark plots (logos, heatmaps, site distributions)</w:t>
            </w:r>
          </w:p>
        </w:tc>
      </w:tr>
      <w:tr>
        <w:trPr/>
        <w:tc>
          <w:tcPr>
            <w:tcW w:w="4199" w:type="dxa"/>
            <w:tcBorders>
              <w:top w:val="single" w:sz="4" w:space="0" w:color="CCCCCC"/>
              <w:left w:val="single" w:sz="4" w:space="0" w:color="CCCCCC"/>
              <w:bottom w:val="single" w:sz="4" w:space="0" w:color="CCCCCC"/>
              <w:right w:val="single" w:sz="4" w:space="0" w:color="CCCCCC"/>
            </w:tcBorders>
            <w:shd w:fill="FFFFFF" w:val="clear"/>
            <w:tcMar>
              <w:top w:w="55" w:type="dxa"/>
              <w:left w:w="260" w:type="dxa"/>
              <w:bottom w:w="55" w:type="dxa"/>
              <w:right w:w="60" w:type="dxa"/>
            </w:tcMar>
          </w:tcPr>
          <w:p>
            <w:pPr>
              <w:pStyle w:val="Normal"/>
              <w:widowControl w:val="false"/>
              <w:rPr/>
            </w:pPr>
            <w:r>
              <w:rPr>
                <w:rFonts w:eastAsia="Courier New" w:cs="Courier New" w:ascii="Courier New" w:hAnsi="Courier New"/>
                <w:b w:val="false"/>
                <w:bCs w:val="false"/>
                <w:color w:val="0D6E8A"/>
                <w:sz w:val="17"/>
                <w:szCs w:val="17"/>
              </w:rPr>
              <w:t>report/index.html</w:t>
            </w:r>
          </w:p>
        </w:tc>
        <w:tc>
          <w:tcPr>
            <w:tcW w:w="5160"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right w:w="100" w:type="dxa"/>
            </w:tcMar>
          </w:tcPr>
          <w:p>
            <w:pPr>
              <w:pStyle w:val="Normal"/>
              <w:widowControl w:val="false"/>
              <w:rPr/>
            </w:pPr>
            <w:r>
              <w:rPr>
                <w:rFonts w:eastAsia="Arial" w:cs="Arial"/>
                <w:b w:val="false"/>
                <w:bCs w:val="false"/>
                <w:color w:val="1A1A1A"/>
                <w:sz w:val="18"/>
                <w:szCs w:val="18"/>
              </w:rPr>
              <w:t>3.7 MB self-contained HTML report — all 58 plots embedded</w:t>
            </w:r>
          </w:p>
        </w:tc>
      </w:tr>
      <w:tr>
        <w:trPr/>
        <w:tc>
          <w:tcPr>
            <w:tcW w:w="4199" w:type="dxa"/>
            <w:tcBorders>
              <w:top w:val="single" w:sz="4" w:space="0" w:color="CCCCCC"/>
              <w:left w:val="single" w:sz="4" w:space="0" w:color="CCCCCC"/>
              <w:bottom w:val="single" w:sz="4" w:space="0" w:color="CCCCCC"/>
              <w:right w:val="single" w:sz="4" w:space="0" w:color="CCCCCC"/>
            </w:tcBorders>
            <w:shd w:fill="F8FAFC" w:val="clear"/>
            <w:tcMar>
              <w:top w:w="55" w:type="dxa"/>
              <w:left w:w="260" w:type="dxa"/>
              <w:bottom w:w="55" w:type="dxa"/>
              <w:right w:w="60" w:type="dxa"/>
            </w:tcMar>
          </w:tcPr>
          <w:p>
            <w:pPr>
              <w:pStyle w:val="Normal"/>
              <w:widowControl w:val="false"/>
              <w:rPr/>
            </w:pPr>
            <w:r>
              <w:rPr>
                <w:rFonts w:eastAsia="Courier New" w:cs="Courier New" w:ascii="Courier New" w:hAnsi="Courier New"/>
                <w:b w:val="false"/>
                <w:bCs w:val="false"/>
                <w:color w:val="0D6E8A"/>
                <w:sz w:val="17"/>
                <w:szCs w:val="17"/>
              </w:rPr>
              <w:t>docs/RESULTS_REPORT.md</w:t>
            </w:r>
          </w:p>
        </w:tc>
        <w:tc>
          <w:tcPr>
            <w:tcW w:w="5160" w:type="dxa"/>
            <w:tcBorders>
              <w:top w:val="single" w:sz="4" w:space="0" w:color="CCCCCC"/>
              <w:left w:val="single" w:sz="4" w:space="0" w:color="CCCCCC"/>
              <w:bottom w:val="single" w:sz="4" w:space="0" w:color="CCCCCC"/>
              <w:right w:val="single" w:sz="4" w:space="0" w:color="CCCCCC"/>
            </w:tcBorders>
            <w:shd w:fill="F8FAFC" w:val="clear"/>
            <w:tcMar>
              <w:top w:w="55" w:type="dxa"/>
              <w:bottom w:w="55" w:type="dxa"/>
              <w:right w:w="100" w:type="dxa"/>
            </w:tcMar>
          </w:tcPr>
          <w:p>
            <w:pPr>
              <w:pStyle w:val="Normal"/>
              <w:widowControl w:val="false"/>
              <w:rPr/>
            </w:pPr>
            <w:r>
              <w:rPr>
                <w:rFonts w:eastAsia="Arial" w:cs="Arial"/>
                <w:b w:val="false"/>
                <w:bCs w:val="false"/>
                <w:color w:val="1A1A1A"/>
                <w:sz w:val="18"/>
                <w:szCs w:val="18"/>
              </w:rPr>
              <w:t>Detailed findings in Markdown with tables and references</w:t>
            </w:r>
          </w:p>
        </w:tc>
      </w:tr>
      <w:tr>
        <w:trPr/>
        <w:tc>
          <w:tcPr>
            <w:tcW w:w="4199" w:type="dxa"/>
            <w:tcBorders>
              <w:top w:val="single" w:sz="4" w:space="0" w:color="CCCCCC"/>
              <w:left w:val="single" w:sz="4" w:space="0" w:color="CCCCCC"/>
              <w:bottom w:val="single" w:sz="4" w:space="0" w:color="CCCCCC"/>
              <w:right w:val="single" w:sz="4" w:space="0" w:color="CCCCCC"/>
            </w:tcBorders>
            <w:shd w:fill="FFFFFF" w:val="clear"/>
            <w:tcMar>
              <w:top w:w="55" w:type="dxa"/>
              <w:left w:w="260" w:type="dxa"/>
              <w:bottom w:w="55" w:type="dxa"/>
              <w:right w:w="60" w:type="dxa"/>
            </w:tcMar>
          </w:tcPr>
          <w:p>
            <w:pPr>
              <w:pStyle w:val="Normal"/>
              <w:widowControl w:val="false"/>
              <w:rPr/>
            </w:pPr>
            <w:r>
              <w:rPr>
                <w:rFonts w:eastAsia="Courier New" w:cs="Courier New" w:ascii="Courier New" w:hAnsi="Courier New"/>
                <w:b w:val="false"/>
                <w:bCs w:val="false"/>
                <w:color w:val="0D6E8A"/>
                <w:sz w:val="17"/>
                <w:szCs w:val="17"/>
              </w:rPr>
              <w:t>notebooks/motif_discovery_demo.ipynb</w:t>
            </w:r>
          </w:p>
        </w:tc>
        <w:tc>
          <w:tcPr>
            <w:tcW w:w="5160" w:type="dxa"/>
            <w:tcBorders>
              <w:top w:val="single" w:sz="4" w:space="0" w:color="CCCCCC"/>
              <w:left w:val="single" w:sz="4" w:space="0" w:color="CCCCCC"/>
              <w:bottom w:val="single" w:sz="4" w:space="0" w:color="CCCCCC"/>
              <w:right w:val="single" w:sz="4" w:space="0" w:color="CCCCCC"/>
            </w:tcBorders>
            <w:shd w:fill="FFFFFF" w:val="clear"/>
            <w:tcMar>
              <w:top w:w="55" w:type="dxa"/>
              <w:bottom w:w="55" w:type="dxa"/>
              <w:right w:w="100" w:type="dxa"/>
            </w:tcMar>
          </w:tcPr>
          <w:p>
            <w:pPr>
              <w:pStyle w:val="Normal"/>
              <w:widowControl w:val="false"/>
              <w:rPr/>
            </w:pPr>
            <w:r>
              <w:rPr>
                <w:rFonts w:eastAsia="Arial" w:cs="Arial"/>
                <w:b w:val="false"/>
                <w:bCs w:val="false"/>
                <w:color w:val="1A1A1A"/>
                <w:sz w:val="18"/>
                <w:szCs w:val="18"/>
              </w:rPr>
              <w:t>Interactive Jupyter walkthrough — run any dataset interactively</w:t>
            </w:r>
          </w:p>
        </w:tc>
      </w:tr>
    </w:tbl>
    <w:p>
      <w:pPr>
        <w:pStyle w:val="Normal"/>
        <w:spacing w:before="0" w:after="80"/>
        <w:rPr/>
      </w:pPr>
      <w:r>
        <w:rPr/>
      </w:r>
    </w:p>
    <w:p>
      <w:pPr>
        <w:pStyle w:val="Normal"/>
        <w:spacing w:before="0" w:after="200"/>
        <w:jc w:val="center"/>
        <w:rPr/>
      </w:pPr>
      <w:r>
        <w:rPr>
          <w:rFonts w:eastAsia="Arial" w:cs="Arial"/>
          <w:color w:val="555555"/>
          <w:sz w:val="20"/>
          <w:szCs w:val="20"/>
        </w:rPr>
        <w:t>Table A.1: Complete project file and directory listing with descriptions.</w:t>
      </w:r>
    </w:p>
    <w:p>
      <w:pPr>
        <w:pStyle w:val="Normal"/>
        <w:spacing w:before="0" w:after="0"/>
        <w:rPr/>
      </w:pPr>
      <w:r>
        <w:rPr/>
      </w:r>
      <w:r>
        <w:br w:type="page"/>
      </w:r>
    </w:p>
    <w:p>
      <w:pPr>
        <w:pStyle w:val="Heading1"/>
        <w:spacing w:before="360" w:after="180"/>
        <w:rPr/>
      </w:pPr>
      <w:r>
        <w:rPr>
          <w:b/>
          <w:bCs/>
        </w:rPr>
        <w:t>Appendix B: Key Algorithm Parameters</w:t>
      </w:r>
    </w:p>
    <w:p>
      <w:pPr>
        <w:pStyle w:val="Normal"/>
        <w:pBdr>
          <w:bottom w:val="single" w:sz="6" w:space="1" w:color="1E3A5F"/>
        </w:pBdr>
        <w:spacing w:before="0" w:after="120"/>
        <w:rPr/>
      </w:pPr>
      <w:r>
        <w:rPr/>
      </w:r>
    </w:p>
    <w:tbl>
      <w:tblPr>
        <w:tblW w:w="9360" w:type="dxa"/>
        <w:jc w:val="left"/>
        <w:tblInd w:w="0" w:type="dxa"/>
        <w:tblLayout w:type="fixed"/>
        <w:tblCellMar>
          <w:top w:w="80" w:type="dxa"/>
          <w:left w:w="120" w:type="dxa"/>
          <w:bottom w:w="80" w:type="dxa"/>
          <w:right w:w="120" w:type="dxa"/>
        </w:tblCellMar>
      </w:tblPr>
      <w:tblGrid>
        <w:gridCol w:w="2500"/>
        <w:gridCol w:w="1500"/>
        <w:gridCol w:w="1499"/>
        <w:gridCol w:w="3860"/>
      </w:tblGrid>
      <w:tr>
        <w:trPr>
          <w:tblHeader w:val="true"/>
        </w:trPr>
        <w:tc>
          <w:tcPr>
            <w:tcW w:w="2500" w:type="dxa"/>
            <w:tcBorders>
              <w:top w:val="single" w:sz="4" w:space="0" w:color="1E3A5F"/>
              <w:left w:val="single" w:sz="4" w:space="0" w:color="1E3A5F"/>
              <w:bottom w:val="single" w:sz="4" w:space="0" w:color="1E3A5F"/>
              <w:right w:val="single" w:sz="4" w:space="0" w:color="1E3A5F"/>
            </w:tcBorders>
            <w:shd w:fill="1E3A5F" w:val="clear"/>
            <w:vAlign w:val="center"/>
          </w:tcPr>
          <w:p>
            <w:pPr>
              <w:pStyle w:val="Normal"/>
              <w:widowControl w:val="false"/>
              <w:jc w:val="center"/>
              <w:rPr/>
            </w:pPr>
            <w:r>
              <w:rPr>
                <w:rFonts w:eastAsia="Arial" w:cs="Arial"/>
                <w:b/>
                <w:bCs/>
                <w:color w:val="FFFFFF"/>
                <w:sz w:val="20"/>
                <w:szCs w:val="20"/>
              </w:rPr>
              <w:t>Parameter</w:t>
            </w:r>
          </w:p>
        </w:tc>
        <w:tc>
          <w:tcPr>
            <w:tcW w:w="1500" w:type="dxa"/>
            <w:tcBorders>
              <w:top w:val="single" w:sz="4" w:space="0" w:color="1E3A5F"/>
              <w:left w:val="single" w:sz="4" w:space="0" w:color="1E3A5F"/>
              <w:bottom w:val="single" w:sz="4" w:space="0" w:color="1E3A5F"/>
              <w:right w:val="single" w:sz="4" w:space="0" w:color="1E3A5F"/>
            </w:tcBorders>
            <w:shd w:fill="1E3A5F" w:val="clear"/>
            <w:vAlign w:val="center"/>
          </w:tcPr>
          <w:p>
            <w:pPr>
              <w:pStyle w:val="Normal"/>
              <w:widowControl w:val="false"/>
              <w:jc w:val="center"/>
              <w:rPr/>
            </w:pPr>
            <w:r>
              <w:rPr>
                <w:rFonts w:eastAsia="Arial" w:cs="Arial"/>
                <w:b/>
                <w:bCs/>
                <w:color w:val="FFFFFF"/>
                <w:sz w:val="20"/>
                <w:szCs w:val="20"/>
              </w:rPr>
              <w:t>MEME Value</w:t>
            </w:r>
          </w:p>
        </w:tc>
        <w:tc>
          <w:tcPr>
            <w:tcW w:w="1499" w:type="dxa"/>
            <w:tcBorders>
              <w:top w:val="single" w:sz="4" w:space="0" w:color="1E3A5F"/>
              <w:left w:val="single" w:sz="4" w:space="0" w:color="1E3A5F"/>
              <w:bottom w:val="single" w:sz="4" w:space="0" w:color="1E3A5F"/>
              <w:right w:val="single" w:sz="4" w:space="0" w:color="1E3A5F"/>
            </w:tcBorders>
            <w:shd w:fill="1E3A5F" w:val="clear"/>
            <w:vAlign w:val="center"/>
          </w:tcPr>
          <w:p>
            <w:pPr>
              <w:pStyle w:val="Normal"/>
              <w:widowControl w:val="false"/>
              <w:jc w:val="center"/>
              <w:rPr/>
            </w:pPr>
            <w:r>
              <w:rPr>
                <w:rFonts w:eastAsia="Arial" w:cs="Arial"/>
                <w:b/>
                <w:bCs/>
                <w:color w:val="FFFFFF"/>
                <w:sz w:val="20"/>
                <w:szCs w:val="20"/>
              </w:rPr>
              <w:t>Gibbs Value</w:t>
            </w:r>
          </w:p>
        </w:tc>
        <w:tc>
          <w:tcPr>
            <w:tcW w:w="3860" w:type="dxa"/>
            <w:tcBorders>
              <w:top w:val="single" w:sz="4" w:space="0" w:color="1E3A5F"/>
              <w:left w:val="single" w:sz="4" w:space="0" w:color="1E3A5F"/>
              <w:bottom w:val="single" w:sz="4" w:space="0" w:color="1E3A5F"/>
              <w:right w:val="single" w:sz="4" w:space="0" w:color="1E3A5F"/>
            </w:tcBorders>
            <w:shd w:fill="1E3A5F" w:val="clear"/>
            <w:vAlign w:val="center"/>
          </w:tcPr>
          <w:p>
            <w:pPr>
              <w:pStyle w:val="Normal"/>
              <w:widowControl w:val="false"/>
              <w:jc w:val="center"/>
              <w:rPr/>
            </w:pPr>
            <w:r>
              <w:rPr>
                <w:rFonts w:eastAsia="Arial" w:cs="Arial"/>
                <w:b/>
                <w:bCs/>
                <w:color w:val="FFFFFF"/>
                <w:sz w:val="20"/>
                <w:szCs w:val="20"/>
              </w:rPr>
              <w:t>Rationale</w:t>
            </w:r>
          </w:p>
        </w:tc>
      </w:tr>
      <w:tr>
        <w:trPr/>
        <w:tc>
          <w:tcPr>
            <w:tcW w:w="2500" w:type="dxa"/>
            <w:tcBorders>
              <w:top w:val="single" w:sz="4" w:space="0" w:color="CCCCCC"/>
              <w:left w:val="single" w:sz="4" w:space="0" w:color="CCCCCC"/>
              <w:bottom w:val="single" w:sz="4" w:space="0" w:color="CCCCCC"/>
              <w:right w:val="single" w:sz="4" w:space="0" w:color="CCCCCC"/>
            </w:tcBorders>
            <w:shd w:fill="F0F4F8" w:val="clear"/>
            <w:tcMar>
              <w:top w:w="60" w:type="dxa"/>
              <w:left w:w="100" w:type="dxa"/>
              <w:bottom w:w="60" w:type="dxa"/>
              <w:right w:w="100" w:type="dxa"/>
            </w:tcMar>
            <w:vAlign w:val="center"/>
          </w:tcPr>
          <w:p>
            <w:pPr>
              <w:pStyle w:val="Normal"/>
              <w:widowControl w:val="false"/>
              <w:jc w:val="left"/>
              <w:rPr/>
            </w:pPr>
            <w:r>
              <w:rPr>
                <w:rFonts w:eastAsia="Courier New" w:cs="Courier New" w:ascii="Courier New" w:hAnsi="Courier New"/>
                <w:b w:val="false"/>
                <w:bCs w:val="false"/>
                <w:color w:val="1E3A5F"/>
                <w:sz w:val="18"/>
                <w:szCs w:val="18"/>
              </w:rPr>
              <w:t>Motif width (W)</w:t>
            </w:r>
          </w:p>
        </w:tc>
        <w:tc>
          <w:tcPr>
            <w:tcW w:w="1500" w:type="dxa"/>
            <w:tcBorders>
              <w:top w:val="single" w:sz="4" w:space="0" w:color="CCCCCC"/>
              <w:left w:val="single" w:sz="4" w:space="0" w:color="CCCCCC"/>
              <w:bottom w:val="single" w:sz="4" w:space="0" w:color="CCCCCC"/>
              <w:right w:val="single" w:sz="4" w:space="0" w:color="CCCCCC"/>
            </w:tcBorders>
            <w:shd w:fill="F0F4F8"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dataset-specific</w:t>
            </w:r>
          </w:p>
        </w:tc>
        <w:tc>
          <w:tcPr>
            <w:tcW w:w="1499" w:type="dxa"/>
            <w:tcBorders>
              <w:top w:val="single" w:sz="4" w:space="0" w:color="CCCCCC"/>
              <w:left w:val="single" w:sz="4" w:space="0" w:color="CCCCCC"/>
              <w:bottom w:val="single" w:sz="4" w:space="0" w:color="CCCCCC"/>
              <w:right w:val="single" w:sz="4" w:space="0" w:color="CCCCCC"/>
            </w:tcBorders>
            <w:shd w:fill="F0F4F8"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dataset-specific</w:t>
            </w:r>
          </w:p>
        </w:tc>
        <w:tc>
          <w:tcPr>
            <w:tcW w:w="3860" w:type="dxa"/>
            <w:tcBorders>
              <w:top w:val="single" w:sz="4" w:space="0" w:color="CCCCCC"/>
              <w:left w:val="single" w:sz="4" w:space="0" w:color="CCCCCC"/>
              <w:bottom w:val="single" w:sz="4" w:space="0" w:color="CCCCCC"/>
              <w:right w:val="single" w:sz="4" w:space="0" w:color="CCCCCC"/>
            </w:tcBorders>
            <w:shd w:fill="F0F4F8"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Matched to true planted/expected width for fair comparison</w:t>
            </w:r>
          </w:p>
        </w:tc>
      </w:tr>
      <w:tr>
        <w:trPr/>
        <w:tc>
          <w:tcPr>
            <w:tcW w:w="2500" w:type="dxa"/>
            <w:tcBorders>
              <w:top w:val="single" w:sz="4" w:space="0" w:color="CCCCCC"/>
              <w:left w:val="single" w:sz="4" w:space="0" w:color="CCCCCC"/>
              <w:bottom w:val="single" w:sz="4" w:space="0" w:color="CCCCCC"/>
              <w:right w:val="single" w:sz="4" w:space="0" w:color="CCCCCC"/>
            </w:tcBorders>
            <w:shd w:fill="FFFFFF" w:val="clear"/>
            <w:tcMar>
              <w:top w:w="60" w:type="dxa"/>
              <w:left w:w="100" w:type="dxa"/>
              <w:bottom w:w="60" w:type="dxa"/>
              <w:right w:w="100" w:type="dxa"/>
            </w:tcMar>
            <w:vAlign w:val="center"/>
          </w:tcPr>
          <w:p>
            <w:pPr>
              <w:pStyle w:val="Normal"/>
              <w:widowControl w:val="false"/>
              <w:jc w:val="left"/>
              <w:rPr/>
            </w:pPr>
            <w:r>
              <w:rPr>
                <w:rFonts w:eastAsia="Courier New" w:cs="Courier New" w:ascii="Courier New" w:hAnsi="Courier New"/>
                <w:b w:val="false"/>
                <w:bCs w:val="false"/>
                <w:color w:val="1E3A5F"/>
                <w:sz w:val="18"/>
                <w:szCs w:val="18"/>
              </w:rPr>
              <w:t>Pseudocount (p)</w:t>
            </w:r>
          </w:p>
        </w:tc>
        <w:tc>
          <w:tcPr>
            <w:tcW w:w="1500" w:type="dxa"/>
            <w:tcBorders>
              <w:top w:val="single" w:sz="4" w:space="0" w:color="CCCCCC"/>
              <w:left w:val="single" w:sz="4" w:space="0" w:color="CCCCCC"/>
              <w:bottom w:val="single" w:sz="4" w:space="0" w:color="CCCCCC"/>
              <w:right w:val="single" w:sz="4" w:space="0" w:color="CCCCCC"/>
            </w:tcBorders>
            <w:shd w:fill="FFFFFF"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0.1</w:t>
            </w:r>
          </w:p>
        </w:tc>
        <w:tc>
          <w:tcPr>
            <w:tcW w:w="1499" w:type="dxa"/>
            <w:tcBorders>
              <w:top w:val="single" w:sz="4" w:space="0" w:color="CCCCCC"/>
              <w:left w:val="single" w:sz="4" w:space="0" w:color="CCCCCC"/>
              <w:bottom w:val="single" w:sz="4" w:space="0" w:color="CCCCCC"/>
              <w:right w:val="single" w:sz="4" w:space="0" w:color="CCCCCC"/>
            </w:tcBorders>
            <w:shd w:fill="FFFFFF"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0.1</w:t>
            </w:r>
          </w:p>
        </w:tc>
        <w:tc>
          <w:tcPr>
            <w:tcW w:w="3860" w:type="dxa"/>
            <w:tcBorders>
              <w:top w:val="single" w:sz="4" w:space="0" w:color="CCCCCC"/>
              <w:left w:val="single" w:sz="4" w:space="0" w:color="CCCCCC"/>
              <w:bottom w:val="single" w:sz="4" w:space="0" w:color="CCCCCC"/>
              <w:right w:val="single" w:sz="4" w:space="0" w:color="CCCCCC"/>
            </w:tcBorders>
            <w:shd w:fill="FFFFFF"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Laplace smoothing; prevents log(0); small relative to typical site counts</w:t>
            </w:r>
          </w:p>
        </w:tc>
      </w:tr>
      <w:tr>
        <w:trPr/>
        <w:tc>
          <w:tcPr>
            <w:tcW w:w="2500" w:type="dxa"/>
            <w:tcBorders>
              <w:top w:val="single" w:sz="4" w:space="0" w:color="CCCCCC"/>
              <w:left w:val="single" w:sz="4" w:space="0" w:color="CCCCCC"/>
              <w:bottom w:val="single" w:sz="4" w:space="0" w:color="CCCCCC"/>
              <w:right w:val="single" w:sz="4" w:space="0" w:color="CCCCCC"/>
            </w:tcBorders>
            <w:shd w:fill="F0F4F8" w:val="clear"/>
            <w:tcMar>
              <w:top w:w="60" w:type="dxa"/>
              <w:left w:w="100" w:type="dxa"/>
              <w:bottom w:w="60" w:type="dxa"/>
              <w:right w:w="100" w:type="dxa"/>
            </w:tcMar>
            <w:vAlign w:val="center"/>
          </w:tcPr>
          <w:p>
            <w:pPr>
              <w:pStyle w:val="Normal"/>
              <w:widowControl w:val="false"/>
              <w:jc w:val="left"/>
              <w:rPr/>
            </w:pPr>
            <w:r>
              <w:rPr>
                <w:rFonts w:eastAsia="Courier New" w:cs="Courier New" w:ascii="Courier New" w:hAnsi="Courier New"/>
                <w:b w:val="false"/>
                <w:bCs w:val="false"/>
                <w:color w:val="1E3A5F"/>
                <w:sz w:val="18"/>
                <w:szCs w:val="18"/>
              </w:rPr>
              <w:t>Number of seeds</w:t>
            </w:r>
          </w:p>
        </w:tc>
        <w:tc>
          <w:tcPr>
            <w:tcW w:w="1500" w:type="dxa"/>
            <w:tcBorders>
              <w:top w:val="single" w:sz="4" w:space="0" w:color="CCCCCC"/>
              <w:left w:val="single" w:sz="4" w:space="0" w:color="CCCCCC"/>
              <w:bottom w:val="single" w:sz="4" w:space="0" w:color="CCCCCC"/>
              <w:right w:val="single" w:sz="4" w:space="0" w:color="CCCCCC"/>
            </w:tcBorders>
            <w:shd w:fill="F0F4F8"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4–6</w:t>
            </w:r>
          </w:p>
        </w:tc>
        <w:tc>
          <w:tcPr>
            <w:tcW w:w="1499" w:type="dxa"/>
            <w:tcBorders>
              <w:top w:val="single" w:sz="4" w:space="0" w:color="CCCCCC"/>
              <w:left w:val="single" w:sz="4" w:space="0" w:color="CCCCCC"/>
              <w:bottom w:val="single" w:sz="4" w:space="0" w:color="CCCCCC"/>
              <w:right w:val="single" w:sz="4" w:space="0" w:color="CCCCCC"/>
            </w:tcBorders>
            <w:shd w:fill="F0F4F8"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w:t>
            </w:r>
          </w:p>
        </w:tc>
        <w:tc>
          <w:tcPr>
            <w:tcW w:w="3860" w:type="dxa"/>
            <w:tcBorders>
              <w:top w:val="single" w:sz="4" w:space="0" w:color="CCCCCC"/>
              <w:left w:val="single" w:sz="4" w:space="0" w:color="CCCCCC"/>
              <w:bottom w:val="single" w:sz="4" w:space="0" w:color="CCCCCC"/>
              <w:right w:val="single" w:sz="4" w:space="0" w:color="CCCCCC"/>
            </w:tcBorders>
            <w:shd w:fill="F0F4F8"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Balanced speed/coverage; each seed is a random k-mer from input sequences</w:t>
            </w:r>
          </w:p>
        </w:tc>
      </w:tr>
      <w:tr>
        <w:trPr/>
        <w:tc>
          <w:tcPr>
            <w:tcW w:w="2500" w:type="dxa"/>
            <w:tcBorders>
              <w:top w:val="single" w:sz="4" w:space="0" w:color="CCCCCC"/>
              <w:left w:val="single" w:sz="4" w:space="0" w:color="CCCCCC"/>
              <w:bottom w:val="single" w:sz="4" w:space="0" w:color="CCCCCC"/>
              <w:right w:val="single" w:sz="4" w:space="0" w:color="CCCCCC"/>
            </w:tcBorders>
            <w:shd w:fill="FFFFFF" w:val="clear"/>
            <w:tcMar>
              <w:top w:w="60" w:type="dxa"/>
              <w:left w:w="100" w:type="dxa"/>
              <w:bottom w:w="60" w:type="dxa"/>
              <w:right w:w="100" w:type="dxa"/>
            </w:tcMar>
            <w:vAlign w:val="center"/>
          </w:tcPr>
          <w:p>
            <w:pPr>
              <w:pStyle w:val="Normal"/>
              <w:widowControl w:val="false"/>
              <w:jc w:val="left"/>
              <w:rPr/>
            </w:pPr>
            <w:r>
              <w:rPr>
                <w:rFonts w:eastAsia="Courier New" w:cs="Courier New" w:ascii="Courier New" w:hAnsi="Courier New"/>
                <w:b w:val="false"/>
                <w:bCs w:val="false"/>
                <w:color w:val="1E3A5F"/>
                <w:sz w:val="18"/>
                <w:szCs w:val="18"/>
              </w:rPr>
              <w:t>EM iterations (max)</w:t>
            </w:r>
          </w:p>
        </w:tc>
        <w:tc>
          <w:tcPr>
            <w:tcW w:w="1500" w:type="dxa"/>
            <w:tcBorders>
              <w:top w:val="single" w:sz="4" w:space="0" w:color="CCCCCC"/>
              <w:left w:val="single" w:sz="4" w:space="0" w:color="CCCCCC"/>
              <w:bottom w:val="single" w:sz="4" w:space="0" w:color="CCCCCC"/>
              <w:right w:val="single" w:sz="4" w:space="0" w:color="CCCCCC"/>
            </w:tcBorders>
            <w:shd w:fill="FFFFFF"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15–20</w:t>
            </w:r>
          </w:p>
        </w:tc>
        <w:tc>
          <w:tcPr>
            <w:tcW w:w="1499" w:type="dxa"/>
            <w:tcBorders>
              <w:top w:val="single" w:sz="4" w:space="0" w:color="CCCCCC"/>
              <w:left w:val="single" w:sz="4" w:space="0" w:color="CCCCCC"/>
              <w:bottom w:val="single" w:sz="4" w:space="0" w:color="CCCCCC"/>
              <w:right w:val="single" w:sz="4" w:space="0" w:color="CCCCCC"/>
            </w:tcBorders>
            <w:shd w:fill="FFFFFF"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w:t>
            </w:r>
          </w:p>
        </w:tc>
        <w:tc>
          <w:tcPr>
            <w:tcW w:w="3860" w:type="dxa"/>
            <w:tcBorders>
              <w:top w:val="single" w:sz="4" w:space="0" w:color="CCCCCC"/>
              <w:left w:val="single" w:sz="4" w:space="0" w:color="CCCCCC"/>
              <w:bottom w:val="single" w:sz="4" w:space="0" w:color="CCCCCC"/>
              <w:right w:val="single" w:sz="4" w:space="0" w:color="CCCCCC"/>
            </w:tcBorders>
            <w:shd w:fill="FFFFFF"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Sufficient for convergence on typical motifs; enforced for speed</w:t>
            </w:r>
          </w:p>
        </w:tc>
      </w:tr>
      <w:tr>
        <w:trPr/>
        <w:tc>
          <w:tcPr>
            <w:tcW w:w="2500" w:type="dxa"/>
            <w:tcBorders>
              <w:top w:val="single" w:sz="4" w:space="0" w:color="CCCCCC"/>
              <w:left w:val="single" w:sz="4" w:space="0" w:color="CCCCCC"/>
              <w:bottom w:val="single" w:sz="4" w:space="0" w:color="CCCCCC"/>
              <w:right w:val="single" w:sz="4" w:space="0" w:color="CCCCCC"/>
            </w:tcBorders>
            <w:shd w:fill="F0F4F8" w:val="clear"/>
            <w:tcMar>
              <w:top w:w="60" w:type="dxa"/>
              <w:left w:w="100" w:type="dxa"/>
              <w:bottom w:w="60" w:type="dxa"/>
              <w:right w:w="100" w:type="dxa"/>
            </w:tcMar>
            <w:vAlign w:val="center"/>
          </w:tcPr>
          <w:p>
            <w:pPr>
              <w:pStyle w:val="Normal"/>
              <w:widowControl w:val="false"/>
              <w:jc w:val="left"/>
              <w:rPr/>
            </w:pPr>
            <w:r>
              <w:rPr>
                <w:rFonts w:eastAsia="Courier New" w:cs="Courier New" w:ascii="Courier New" w:hAnsi="Courier New"/>
                <w:b w:val="false"/>
                <w:bCs w:val="false"/>
                <w:color w:val="1E3A5F"/>
                <w:sz w:val="18"/>
                <w:szCs w:val="18"/>
              </w:rPr>
              <w:t>Convergence threshold</w:t>
            </w:r>
          </w:p>
        </w:tc>
        <w:tc>
          <w:tcPr>
            <w:tcW w:w="1500" w:type="dxa"/>
            <w:tcBorders>
              <w:top w:val="single" w:sz="4" w:space="0" w:color="CCCCCC"/>
              <w:left w:val="single" w:sz="4" w:space="0" w:color="CCCCCC"/>
              <w:bottom w:val="single" w:sz="4" w:space="0" w:color="CCCCCC"/>
              <w:right w:val="single" w:sz="4" w:space="0" w:color="CCCCCC"/>
            </w:tcBorders>
            <w:shd w:fill="F0F4F8"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1×10⁻⁶</w:t>
            </w:r>
          </w:p>
        </w:tc>
        <w:tc>
          <w:tcPr>
            <w:tcW w:w="1499" w:type="dxa"/>
            <w:tcBorders>
              <w:top w:val="single" w:sz="4" w:space="0" w:color="CCCCCC"/>
              <w:left w:val="single" w:sz="4" w:space="0" w:color="CCCCCC"/>
              <w:bottom w:val="single" w:sz="4" w:space="0" w:color="CCCCCC"/>
              <w:right w:val="single" w:sz="4" w:space="0" w:color="CCCCCC"/>
            </w:tcBorders>
            <w:shd w:fill="F0F4F8"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w:t>
            </w:r>
          </w:p>
        </w:tc>
        <w:tc>
          <w:tcPr>
            <w:tcW w:w="3860" w:type="dxa"/>
            <w:tcBorders>
              <w:top w:val="single" w:sz="4" w:space="0" w:color="CCCCCC"/>
              <w:left w:val="single" w:sz="4" w:space="0" w:color="CCCCCC"/>
              <w:bottom w:val="single" w:sz="4" w:space="0" w:color="CCCCCC"/>
              <w:right w:val="single" w:sz="4" w:space="0" w:color="CCCCCC"/>
            </w:tcBorders>
            <w:shd w:fill="F0F4F8"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Log-likelihood change between iterations below this triggers early stop</w:t>
            </w:r>
          </w:p>
        </w:tc>
      </w:tr>
      <w:tr>
        <w:trPr/>
        <w:tc>
          <w:tcPr>
            <w:tcW w:w="2500" w:type="dxa"/>
            <w:tcBorders>
              <w:top w:val="single" w:sz="4" w:space="0" w:color="CCCCCC"/>
              <w:left w:val="single" w:sz="4" w:space="0" w:color="CCCCCC"/>
              <w:bottom w:val="single" w:sz="4" w:space="0" w:color="CCCCCC"/>
              <w:right w:val="single" w:sz="4" w:space="0" w:color="CCCCCC"/>
            </w:tcBorders>
            <w:shd w:fill="FFFFFF" w:val="clear"/>
            <w:tcMar>
              <w:top w:w="60" w:type="dxa"/>
              <w:left w:w="100" w:type="dxa"/>
              <w:bottom w:w="60" w:type="dxa"/>
              <w:right w:w="100" w:type="dxa"/>
            </w:tcMar>
            <w:vAlign w:val="center"/>
          </w:tcPr>
          <w:p>
            <w:pPr>
              <w:pStyle w:val="Normal"/>
              <w:widowControl w:val="false"/>
              <w:jc w:val="left"/>
              <w:rPr/>
            </w:pPr>
            <w:r>
              <w:rPr>
                <w:rFonts w:eastAsia="Courier New" w:cs="Courier New" w:ascii="Courier New" w:hAnsi="Courier New"/>
                <w:b w:val="false"/>
                <w:bCs w:val="false"/>
                <w:color w:val="1E3A5F"/>
                <w:sz w:val="18"/>
                <w:szCs w:val="18"/>
              </w:rPr>
              <w:t>Number of runs</w:t>
            </w:r>
          </w:p>
        </w:tc>
        <w:tc>
          <w:tcPr>
            <w:tcW w:w="1500" w:type="dxa"/>
            <w:tcBorders>
              <w:top w:val="single" w:sz="4" w:space="0" w:color="CCCCCC"/>
              <w:left w:val="single" w:sz="4" w:space="0" w:color="CCCCCC"/>
              <w:bottom w:val="single" w:sz="4" w:space="0" w:color="CCCCCC"/>
              <w:right w:val="single" w:sz="4" w:space="0" w:color="CCCCCC"/>
            </w:tcBorders>
            <w:shd w:fill="FFFFFF"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w:t>
            </w:r>
          </w:p>
        </w:tc>
        <w:tc>
          <w:tcPr>
            <w:tcW w:w="1499" w:type="dxa"/>
            <w:tcBorders>
              <w:top w:val="single" w:sz="4" w:space="0" w:color="CCCCCC"/>
              <w:left w:val="single" w:sz="4" w:space="0" w:color="CCCCCC"/>
              <w:bottom w:val="single" w:sz="4" w:space="0" w:color="CCCCCC"/>
              <w:right w:val="single" w:sz="4" w:space="0" w:color="CCCCCC"/>
            </w:tcBorders>
            <w:shd w:fill="FFFFFF"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3</w:t>
            </w:r>
          </w:p>
        </w:tc>
        <w:tc>
          <w:tcPr>
            <w:tcW w:w="3860" w:type="dxa"/>
            <w:tcBorders>
              <w:top w:val="single" w:sz="4" w:space="0" w:color="CCCCCC"/>
              <w:left w:val="single" w:sz="4" w:space="0" w:color="CCCCCC"/>
              <w:bottom w:val="single" w:sz="4" w:space="0" w:color="CCCCCC"/>
              <w:right w:val="single" w:sz="4" w:space="0" w:color="CCCCCC"/>
            </w:tcBorders>
            <w:shd w:fill="FFFFFF"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Multi-start to escape local optima; 3 runs gave stable results</w:t>
            </w:r>
          </w:p>
        </w:tc>
      </w:tr>
      <w:tr>
        <w:trPr/>
        <w:tc>
          <w:tcPr>
            <w:tcW w:w="2500" w:type="dxa"/>
            <w:tcBorders>
              <w:top w:val="single" w:sz="4" w:space="0" w:color="CCCCCC"/>
              <w:left w:val="single" w:sz="4" w:space="0" w:color="CCCCCC"/>
              <w:bottom w:val="single" w:sz="4" w:space="0" w:color="CCCCCC"/>
              <w:right w:val="single" w:sz="4" w:space="0" w:color="CCCCCC"/>
            </w:tcBorders>
            <w:shd w:fill="F0F4F8" w:val="clear"/>
            <w:tcMar>
              <w:top w:w="60" w:type="dxa"/>
              <w:left w:w="100" w:type="dxa"/>
              <w:bottom w:w="60" w:type="dxa"/>
              <w:right w:w="100" w:type="dxa"/>
            </w:tcMar>
            <w:vAlign w:val="center"/>
          </w:tcPr>
          <w:p>
            <w:pPr>
              <w:pStyle w:val="Normal"/>
              <w:widowControl w:val="false"/>
              <w:jc w:val="left"/>
              <w:rPr/>
            </w:pPr>
            <w:r>
              <w:rPr>
                <w:rFonts w:eastAsia="Courier New" w:cs="Courier New" w:ascii="Courier New" w:hAnsi="Courier New"/>
                <w:b w:val="false"/>
                <w:bCs w:val="false"/>
                <w:color w:val="1E3A5F"/>
                <w:sz w:val="18"/>
                <w:szCs w:val="18"/>
              </w:rPr>
              <w:t>Gibbs iterations</w:t>
            </w:r>
          </w:p>
        </w:tc>
        <w:tc>
          <w:tcPr>
            <w:tcW w:w="1500" w:type="dxa"/>
            <w:tcBorders>
              <w:top w:val="single" w:sz="4" w:space="0" w:color="CCCCCC"/>
              <w:left w:val="single" w:sz="4" w:space="0" w:color="CCCCCC"/>
              <w:bottom w:val="single" w:sz="4" w:space="0" w:color="CCCCCC"/>
              <w:right w:val="single" w:sz="4" w:space="0" w:color="CCCCCC"/>
            </w:tcBorders>
            <w:shd w:fill="F0F4F8"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w:t>
            </w:r>
          </w:p>
        </w:tc>
        <w:tc>
          <w:tcPr>
            <w:tcW w:w="1499" w:type="dxa"/>
            <w:tcBorders>
              <w:top w:val="single" w:sz="4" w:space="0" w:color="CCCCCC"/>
              <w:left w:val="single" w:sz="4" w:space="0" w:color="CCCCCC"/>
              <w:bottom w:val="single" w:sz="4" w:space="0" w:color="CCCCCC"/>
              <w:right w:val="single" w:sz="4" w:space="0" w:color="CCCCCC"/>
            </w:tcBorders>
            <w:shd w:fill="F0F4F8"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50–80</w:t>
            </w:r>
          </w:p>
        </w:tc>
        <w:tc>
          <w:tcPr>
            <w:tcW w:w="3860" w:type="dxa"/>
            <w:tcBorders>
              <w:top w:val="single" w:sz="4" w:space="0" w:color="CCCCCC"/>
              <w:left w:val="single" w:sz="4" w:space="0" w:color="CCCCCC"/>
              <w:bottom w:val="single" w:sz="4" w:space="0" w:color="CCCCCC"/>
              <w:right w:val="single" w:sz="4" w:space="0" w:color="CCCCCC"/>
            </w:tcBorders>
            <w:shd w:fill="F0F4F8"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Each iteration sweeps all sequences; 50 sufficient for convergence on test sets</w:t>
            </w:r>
          </w:p>
        </w:tc>
      </w:tr>
      <w:tr>
        <w:trPr/>
        <w:tc>
          <w:tcPr>
            <w:tcW w:w="2500" w:type="dxa"/>
            <w:tcBorders>
              <w:top w:val="single" w:sz="4" w:space="0" w:color="CCCCCC"/>
              <w:left w:val="single" w:sz="4" w:space="0" w:color="CCCCCC"/>
              <w:bottom w:val="single" w:sz="4" w:space="0" w:color="CCCCCC"/>
              <w:right w:val="single" w:sz="4" w:space="0" w:color="CCCCCC"/>
            </w:tcBorders>
            <w:shd w:fill="FFFFFF" w:val="clear"/>
            <w:tcMar>
              <w:top w:w="60" w:type="dxa"/>
              <w:left w:w="100" w:type="dxa"/>
              <w:bottom w:w="60" w:type="dxa"/>
              <w:right w:w="100" w:type="dxa"/>
            </w:tcMar>
            <w:vAlign w:val="center"/>
          </w:tcPr>
          <w:p>
            <w:pPr>
              <w:pStyle w:val="Normal"/>
              <w:widowControl w:val="false"/>
              <w:jc w:val="left"/>
              <w:rPr/>
            </w:pPr>
            <w:r>
              <w:rPr>
                <w:rFonts w:eastAsia="Courier New" w:cs="Courier New" w:ascii="Courier New" w:hAnsi="Courier New"/>
                <w:b w:val="false"/>
                <w:bCs w:val="false"/>
                <w:color w:val="1E3A5F"/>
                <w:sz w:val="18"/>
                <w:szCs w:val="18"/>
              </w:rPr>
              <w:t>Motif occurrence model</w:t>
            </w:r>
          </w:p>
        </w:tc>
        <w:tc>
          <w:tcPr>
            <w:tcW w:w="1500" w:type="dxa"/>
            <w:tcBorders>
              <w:top w:val="single" w:sz="4" w:space="0" w:color="CCCCCC"/>
              <w:left w:val="single" w:sz="4" w:space="0" w:color="CCCCCC"/>
              <w:bottom w:val="single" w:sz="4" w:space="0" w:color="CCCCCC"/>
              <w:right w:val="single" w:sz="4" w:space="0" w:color="CCCCCC"/>
            </w:tcBorders>
            <w:shd w:fill="FFFFFF"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ZOOPS</w:t>
            </w:r>
          </w:p>
        </w:tc>
        <w:tc>
          <w:tcPr>
            <w:tcW w:w="1499" w:type="dxa"/>
            <w:tcBorders>
              <w:top w:val="single" w:sz="4" w:space="0" w:color="CCCCCC"/>
              <w:left w:val="single" w:sz="4" w:space="0" w:color="CCCCCC"/>
              <w:bottom w:val="single" w:sz="4" w:space="0" w:color="CCCCCC"/>
              <w:right w:val="single" w:sz="4" w:space="0" w:color="CCCCCC"/>
            </w:tcBorders>
            <w:shd w:fill="FFFFFF"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implicit OOPS</w:t>
            </w:r>
          </w:p>
        </w:tc>
        <w:tc>
          <w:tcPr>
            <w:tcW w:w="3860" w:type="dxa"/>
            <w:tcBorders>
              <w:top w:val="single" w:sz="4" w:space="0" w:color="CCCCCC"/>
              <w:left w:val="single" w:sz="4" w:space="0" w:color="CCCCCC"/>
              <w:bottom w:val="single" w:sz="4" w:space="0" w:color="CCCCCC"/>
              <w:right w:val="single" w:sz="4" w:space="0" w:color="CCCCCC"/>
            </w:tcBorders>
            <w:shd w:fill="FFFFFF"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ZOOPS: each seq may/may not contain a motif; more flexible than OOPS</w:t>
            </w:r>
          </w:p>
        </w:tc>
      </w:tr>
      <w:tr>
        <w:trPr/>
        <w:tc>
          <w:tcPr>
            <w:tcW w:w="2500" w:type="dxa"/>
            <w:tcBorders>
              <w:top w:val="single" w:sz="4" w:space="0" w:color="CCCCCC"/>
              <w:left w:val="single" w:sz="4" w:space="0" w:color="CCCCCC"/>
              <w:bottom w:val="single" w:sz="4" w:space="0" w:color="CCCCCC"/>
              <w:right w:val="single" w:sz="4" w:space="0" w:color="CCCCCC"/>
            </w:tcBorders>
            <w:shd w:fill="F0F4F8" w:val="clear"/>
            <w:tcMar>
              <w:top w:w="60" w:type="dxa"/>
              <w:left w:w="100" w:type="dxa"/>
              <w:bottom w:w="60" w:type="dxa"/>
              <w:right w:w="100" w:type="dxa"/>
            </w:tcMar>
            <w:vAlign w:val="center"/>
          </w:tcPr>
          <w:p>
            <w:pPr>
              <w:pStyle w:val="Normal"/>
              <w:widowControl w:val="false"/>
              <w:jc w:val="left"/>
              <w:rPr/>
            </w:pPr>
            <w:r>
              <w:rPr>
                <w:rFonts w:eastAsia="Courier New" w:cs="Courier New" w:ascii="Courier New" w:hAnsi="Courier New"/>
                <w:b w:val="false"/>
                <w:bCs w:val="false"/>
                <w:color w:val="1E3A5F"/>
                <w:sz w:val="18"/>
                <w:szCs w:val="18"/>
              </w:rPr>
              <w:t>Number of motifs</w:t>
            </w:r>
          </w:p>
        </w:tc>
        <w:tc>
          <w:tcPr>
            <w:tcW w:w="1500" w:type="dxa"/>
            <w:tcBorders>
              <w:top w:val="single" w:sz="4" w:space="0" w:color="CCCCCC"/>
              <w:left w:val="single" w:sz="4" w:space="0" w:color="CCCCCC"/>
              <w:bottom w:val="single" w:sz="4" w:space="0" w:color="CCCCCC"/>
              <w:right w:val="single" w:sz="4" w:space="0" w:color="CCCCCC"/>
            </w:tcBorders>
            <w:shd w:fill="F0F4F8"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1–2</w:t>
            </w:r>
          </w:p>
        </w:tc>
        <w:tc>
          <w:tcPr>
            <w:tcW w:w="1499" w:type="dxa"/>
            <w:tcBorders>
              <w:top w:val="single" w:sz="4" w:space="0" w:color="CCCCCC"/>
              <w:left w:val="single" w:sz="4" w:space="0" w:color="CCCCCC"/>
              <w:bottom w:val="single" w:sz="4" w:space="0" w:color="CCCCCC"/>
              <w:right w:val="single" w:sz="4" w:space="0" w:color="CCCCCC"/>
            </w:tcBorders>
            <w:shd w:fill="F0F4F8"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1</w:t>
            </w:r>
          </w:p>
        </w:tc>
        <w:tc>
          <w:tcPr>
            <w:tcW w:w="3860" w:type="dxa"/>
            <w:tcBorders>
              <w:top w:val="single" w:sz="4" w:space="0" w:color="CCCCCC"/>
              <w:left w:val="single" w:sz="4" w:space="0" w:color="CCCCCC"/>
              <w:bottom w:val="single" w:sz="4" w:space="0" w:color="CCCCCC"/>
              <w:right w:val="single" w:sz="4" w:space="0" w:color="CCCCCC"/>
            </w:tcBorders>
            <w:shd w:fill="F0F4F8" w:val="clear"/>
            <w:tcMar>
              <w:top w:w="60" w:type="dxa"/>
              <w:left w:w="100" w:type="dxa"/>
              <w:bottom w:w="60" w:type="dxa"/>
              <w:right w:w="100" w:type="dxa"/>
            </w:tcMar>
            <w:vAlign w:val="center"/>
          </w:tcPr>
          <w:p>
            <w:pPr>
              <w:pStyle w:val="Normal"/>
              <w:widowControl w:val="false"/>
              <w:jc w:val="left"/>
              <w:rPr/>
            </w:pPr>
            <w:r>
              <w:rPr>
                <w:rFonts w:eastAsia="Arial" w:cs="Arial"/>
                <w:b w:val="false"/>
                <w:bCs w:val="false"/>
                <w:color w:val="1A1A1A"/>
                <w:sz w:val="20"/>
                <w:szCs w:val="20"/>
              </w:rPr>
              <w:t>Multi-motif with erasing for MEME; Gibbs finds one motif per run</w:t>
            </w:r>
          </w:p>
        </w:tc>
      </w:tr>
    </w:tbl>
    <w:p>
      <w:pPr>
        <w:pStyle w:val="Normal"/>
        <w:spacing w:before="0" w:after="80"/>
        <w:rPr/>
      </w:pPr>
      <w:r>
        <w:rPr/>
      </w:r>
    </w:p>
    <w:sectPr>
      <w:headerReference w:type="default" r:id="rId2"/>
      <w:footerReference w:type="default" r:id="rId3"/>
      <w:type w:val="nextPage"/>
      <w:pgSz w:w="12240" w:h="15840"/>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roman"/>
    <w:pitch w:val="variable"/>
  </w:font>
  <w:font w:name="Courier New">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1E3A5F"/>
      </w:pBdr>
      <w:spacing w:before="0" w:after="0"/>
      <w:jc w:val="right"/>
      <w:rPr/>
    </w:pPr>
    <w:r>
      <w:rPr>
        <w:rFonts w:eastAsia="Arial" w:cs="Arial"/>
        <w:color w:val="555555"/>
        <w:sz w:val="18"/>
        <w:szCs w:val="18"/>
      </w:rPr>
      <w:t xml:space="preserve">Page </w:t>
    </w:r>
    <w:r>
      <w:rPr/>
      <w:fldChar w:fldCharType="begin"/>
    </w:r>
    <w:r>
      <w:rPr/>
      <w:instrText xml:space="preserve"> PAGE </w:instrText>
    </w:r>
    <w:r>
      <w:rPr/>
      <w:fldChar w:fldCharType="separate"/>
    </w:r>
    <w:r>
      <w:rPr/>
      <w:t>26</w:t>
    </w:r>
    <w:r>
      <w:rPr/>
      <w:fldChar w:fldCharType="end"/>
    </w:r>
    <w:r>
      <w:rPr>
        <w:rFonts w:eastAsia="Arial" w:cs="Arial"/>
        <w:color w:val="555555"/>
        <w:sz w:val="18"/>
        <w:szCs w:val="18"/>
      </w:rPr>
      <w:t xml:space="preserve"> of </w:t>
    </w:r>
    <w:r>
      <w:rPr/>
      <w:fldChar w:fldCharType="begin"/>
    </w:r>
    <w:r>
      <w:rPr/>
      <w:instrText xml:space="preserve"> NUMPAGES </w:instrText>
    </w:r>
    <w:r>
      <w:rPr/>
      <w:fldChar w:fldCharType="separate"/>
    </w:r>
    <w:r>
      <w:rPr/>
      <w:t>26</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1" w:color="1E3A5F"/>
      </w:pBdr>
      <w:spacing w:before="0" w:after="0"/>
      <w:rPr>
        <w:rFonts w:ascii="Arial" w:hAnsi="Arial" w:eastAsia="Arial" w:cs="Arial"/>
        <w:color w:val="555555"/>
        <w:sz w:val="18"/>
        <w:szCs w:val="18"/>
      </w:rPr>
    </w:pPr>
    <w:r>
      <w:rPr>
        <w:rFonts w:eastAsia="Arial" w:cs="Arial"/>
        <w:color w:val="555555"/>
        <w:sz w:val="18"/>
        <w:szCs w:val="18"/>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3">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4">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5">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6">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7">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8">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9">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0">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3">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4">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5">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6">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7">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8">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9">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0">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3">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4">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5">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6">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7">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8">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9">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0">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3">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4">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5">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6">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7">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8">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9">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0">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3">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4">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5">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6">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7">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8">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9">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0">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1">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2">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3">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4">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5">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6">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1"/>
    <w:lvlOverride w:ilvl="0">
      <w:startOverride w:val="1"/>
    </w:lvlOverride>
  </w:num>
  <w:num w:numId="69">
    <w:abstractNumId w:val="1"/>
  </w:num>
  <w:num w:numId="70">
    <w:abstractNumId w:val="1"/>
  </w:num>
  <w:num w:numId="71">
    <w:abstractNumId w:val="1"/>
  </w:num>
  <w:num w:numId="72">
    <w:abstractNumId w:val="5"/>
    <w:lvlOverride w:ilvl="0">
      <w:startOverride w:val="1"/>
    </w:lvlOverride>
  </w:num>
  <w:num w:numId="73">
    <w:abstractNumId w:val="5"/>
  </w:num>
  <w:num w:numId="74">
    <w:abstractNumId w:val="5"/>
  </w:num>
  <w:num w:numId="75">
    <w:abstractNumId w:val="5"/>
  </w:num>
  <w:num w:numId="76">
    <w:abstractNumId w:val="5"/>
  </w:num>
  <w:num w:numId="77">
    <w:abstractNumId w:val="5"/>
  </w:num>
  <w:num w:numId="78">
    <w:abstractNumId w:val="1"/>
  </w:num>
  <w:num w:numId="79">
    <w:abstractNumId w:val="1"/>
  </w:num>
  <w:num w:numId="80">
    <w:abstractNumId w:val="1"/>
  </w:num>
  <w:num w:numId="81">
    <w:abstractNumId w:val="1"/>
  </w:num>
  <w:num w:numId="82">
    <w:abstractNumId w:val="1"/>
  </w:num>
  <w:num w:numId="83">
    <w:abstractNumId w:val="1"/>
  </w:num>
  <w:num w:numId="84">
    <w:abstractNumId w:val="1"/>
  </w:num>
  <w:num w:numId="85">
    <w:abstractNumId w:val="1"/>
  </w:num>
  <w:num w:numId="86">
    <w:abstractNumId w:val="1"/>
  </w:num>
  <w:num w:numId="87">
    <w:abstractNumId w:val="1"/>
  </w:num>
  <w:num w:numId="88">
    <w:abstractNumId w:val="1"/>
  </w:num>
  <w:num w:numId="89">
    <w:abstractNumId w:val="1"/>
  </w:num>
  <w:num w:numId="90">
    <w:abstractNumId w:val="1"/>
  </w:num>
  <w:num w:numId="91">
    <w:abstractNumId w:val="1"/>
  </w:num>
  <w:num w:numId="92">
    <w:abstractNumId w:val="1"/>
  </w:num>
  <w:num w:numId="93">
    <w:abstractNumId w:val="5"/>
  </w:num>
  <w:num w:numId="94">
    <w:abstractNumId w:val="5"/>
  </w:num>
  <w:num w:numId="95">
    <w:abstractNumId w:val="5"/>
  </w:num>
  <w:num w:numId="96">
    <w:abstractNumId w:val="5"/>
  </w:num>
  <w:num w:numId="97">
    <w:abstractNumId w:val="1"/>
  </w:num>
  <w:num w:numId="98">
    <w:abstractNumId w:val="1"/>
  </w:num>
  <w:num w:numId="99">
    <w:abstractNumId w:val="1"/>
  </w:num>
  <w:num w:numId="100">
    <w:abstractNumId w:val="1"/>
  </w:num>
  <w:num w:numId="101">
    <w:abstractNumId w:val="1"/>
  </w:num>
  <w:num w:numId="102">
    <w:abstractNumId w:val="1"/>
  </w:num>
  <w:num w:numId="103">
    <w:abstractNumId w:val="1"/>
  </w:num>
  <w:num w:numId="104">
    <w:abstractNumId w:val="1"/>
  </w:num>
  <w:num w:numId="105">
    <w:abstractNumId w:val="1"/>
  </w:num>
  <w:num w:numId="106">
    <w:abstractNumId w:val="1"/>
  </w:num>
  <w:num w:numId="107">
    <w:abstractNumId w:val="1"/>
  </w:num>
  <w:num w:numId="108">
    <w:abstractNumId w:val="1"/>
  </w:num>
  <w:num w:numId="109">
    <w:abstractNumId w:val="1"/>
  </w:num>
  <w:num w:numId="110">
    <w:abstractNumId w:val="1"/>
  </w:num>
  <w:num w:numId="111">
    <w:abstractNumId w:val="1"/>
  </w:num>
  <w:num w:numId="112">
    <w:abstractNumId w:val="1"/>
  </w:num>
  <w:num w:numId="113">
    <w:abstractNumId w:val="1"/>
  </w:num>
  <w:num w:numId="114">
    <w:abstractNumId w:val="1"/>
  </w:num>
  <w:num w:numId="115">
    <w:abstractNumId w:val="1"/>
  </w:num>
  <w:num w:numId="116">
    <w:abstractNumId w:val="1"/>
  </w:num>
  <w:num w:numId="117">
    <w:abstractNumId w:val="1"/>
  </w:num>
  <w:num w:numId="118">
    <w:abstractNumId w:val="1"/>
  </w:num>
  <w:num w:numId="119">
    <w:abstractNumId w:val="1"/>
  </w:num>
  <w:num w:numId="120">
    <w:abstractNumId w:val="5"/>
  </w:num>
  <w:num w:numId="121">
    <w:abstractNumId w:val="5"/>
  </w:num>
  <w:num w:numId="122">
    <w:abstractNumId w:val="5"/>
  </w:num>
  <w:num w:numId="123">
    <w:abstractNumId w:val="5"/>
  </w:num>
  <w:num w:numId="124">
    <w:abstractNumId w:val="5"/>
  </w:num>
  <w:num w:numId="125">
    <w:abstractNumId w:val="5"/>
  </w:num>
  <w:num w:numId="126">
    <w:abstractNumId w:val="5"/>
  </w:num>
  <w:num w:numId="127">
    <w:abstractNumId w:val="5"/>
  </w:num>
  <w:num w:numId="128">
    <w:abstractNumId w:val="5"/>
  </w:num>
  <w:num w:numId="129">
    <w:abstractNumId w:val="5"/>
  </w:num>
  <w:num w:numId="130">
    <w:abstractNumId w:val="5"/>
  </w:num>
  <w:num w:numId="131">
    <w:abstractNumId w:val="5"/>
  </w:num>
  <w:num w:numId="132">
    <w:abstractNumId w:val="5"/>
  </w:num>
  <w:num w:numId="133">
    <w:abstractNumId w:val="5"/>
  </w:num>
</w:numbering>
</file>

<file path=word/settings.xml><?xml version="1.0" encoding="utf-8"?>
<w:settings xmlns:w="http://schemas.openxmlformats.org/wordprocessingml/2006/main">
  <w:zoom w:percent="74"/>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1A1A1A"/>
        <w:sz w:val="24"/>
        <w:szCs w:val="24"/>
        <w:lang w:val="en-IN"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Arial" w:hAnsi="Arial" w:eastAsia="Arial" w:cs="Arial"/>
      <w:color w:val="1A1A1A"/>
      <w:kern w:val="0"/>
      <w:sz w:val="24"/>
      <w:szCs w:val="24"/>
      <w:lang w:val="en-IN" w:eastAsia="zh-CN" w:bidi="hi-IN"/>
    </w:rPr>
  </w:style>
  <w:style w:type="paragraph" w:styleId="Heading1">
    <w:name w:val="Heading 1"/>
    <w:basedOn w:val="Heading"/>
    <w:qFormat/>
    <w:pPr>
      <w:spacing w:before="480" w:after="200"/>
      <w:outlineLvl w:val="0"/>
    </w:pPr>
    <w:rPr>
      <w:rFonts w:ascii="Arial" w:hAnsi="Arial" w:eastAsia="Arial" w:cs="Arial"/>
      <w:b/>
      <w:bCs/>
      <w:color w:val="1E3A5F"/>
      <w:sz w:val="40"/>
      <w:szCs w:val="40"/>
    </w:rPr>
  </w:style>
  <w:style w:type="paragraph" w:styleId="Heading2">
    <w:name w:val="Heading 2"/>
    <w:basedOn w:val="Heading"/>
    <w:qFormat/>
    <w:pPr>
      <w:spacing w:before="320" w:after="140"/>
      <w:outlineLvl w:val="1"/>
    </w:pPr>
    <w:rPr>
      <w:rFonts w:ascii="Arial" w:hAnsi="Arial" w:eastAsia="Arial" w:cs="Arial"/>
      <w:b/>
      <w:bCs/>
      <w:color w:val="0D6E8A"/>
      <w:sz w:val="30"/>
      <w:szCs w:val="30"/>
    </w:rPr>
  </w:style>
  <w:style w:type="paragraph" w:styleId="Heading3">
    <w:name w:val="Heading 3"/>
    <w:basedOn w:val="Heading"/>
    <w:qFormat/>
    <w:pPr>
      <w:spacing w:before="220" w:after="100"/>
      <w:outlineLvl w:val="2"/>
    </w:pPr>
    <w:rPr>
      <w:rFonts w:ascii="Arial" w:hAnsi="Arial" w:eastAsia="Arial" w:cs="Arial"/>
      <w:b/>
      <w:bCs/>
      <w:color w:val="1E3A5F"/>
      <w:sz w:val="26"/>
      <w:szCs w:val="26"/>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Internet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Anchor"/>
    <w:rPr>
      <w:vertAlign w:val="superscript"/>
    </w:rPr>
  </w:style>
  <w:style w:type="character" w:styleId="FootnoteTextChar">
    <w:name w:val="Footnote Text Char"/>
    <w:link w:val="Footnote"/>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Anchor">
    <w:name w:val="Endnote Anchor"/>
    <w:rPr>
      <w:vertAlign w:val="superscript"/>
    </w:rPr>
  </w:style>
  <w:style w:type="character" w:styleId="EndnoteTextChar">
    <w:name w:val="Endnote Text Char"/>
    <w:link w:val="Endnote"/>
    <w:uiPriority w:val="99"/>
    <w:semiHidden/>
    <w:unhideWhenUsed/>
    <w:qFormat/>
    <w:rPr>
      <w:sz w:val="20"/>
      <w:szCs w:val="20"/>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Heading"/>
    <w:qFormat/>
    <w:pPr/>
    <w:rPr>
      <w:sz w:val="56"/>
      <w:szCs w:val="56"/>
    </w:rPr>
  </w:style>
  <w:style w:type="paragraph" w:styleId="Strong">
    <w:name w:val="Strong"/>
    <w:qFormat/>
    <w:pPr>
      <w:widowControl/>
      <w:suppressAutoHyphens w:val="true"/>
      <w:bidi w:val="0"/>
      <w:spacing w:before="0" w:after="0"/>
      <w:jc w:val="left"/>
    </w:pPr>
    <w:rPr>
      <w:rFonts w:ascii="Arial" w:hAnsi="Arial" w:eastAsia="Arial" w:cs="Arial"/>
      <w:b/>
      <w:bCs/>
      <w:color w:val="1A1A1A"/>
      <w:kern w:val="0"/>
      <w:sz w:val="24"/>
      <w:szCs w:val="24"/>
      <w:lang w:val="en-IN" w:eastAsia="zh-CN" w:bidi="hi-IN"/>
    </w:rPr>
  </w:style>
  <w:style w:type="paragraph" w:styleId="ListParagraph">
    <w:name w:val="List Paragraph"/>
    <w:qFormat/>
    <w:pPr>
      <w:widowControl/>
      <w:suppressAutoHyphens w:val="true"/>
      <w:bidi w:val="0"/>
      <w:spacing w:before="0" w:after="0"/>
      <w:jc w:val="left"/>
    </w:pPr>
    <w:rPr>
      <w:rFonts w:ascii="Arial" w:hAnsi="Arial" w:eastAsia="Arial" w:cs="Arial"/>
      <w:color w:val="1A1A1A"/>
      <w:kern w:val="0"/>
      <w:sz w:val="24"/>
      <w:szCs w:val="24"/>
      <w:lang w:val="en-IN" w:eastAsia="zh-CN" w:bidi="hi-IN"/>
    </w:rPr>
  </w:style>
  <w:style w:type="paragraph" w:styleId="Footnote">
    <w:name w:val="Footnote Text"/>
    <w:basedOn w:val="Normal"/>
    <w:link w:val="FootnoteTextChar"/>
    <w:uiPriority w:val="99"/>
    <w:semiHidden/>
    <w:unhideWhenUsed/>
    <w:pPr>
      <w:spacing w:lineRule="auto" w:line="240" w:before="0" w:after="0"/>
    </w:pPr>
    <w:rPr>
      <w:sz w:val="20"/>
      <w:szCs w:val="20"/>
    </w:rPr>
  </w:style>
  <w:style w:type="paragraph" w:styleId="Endnote">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2</TotalTime>
  <Application>LibreOffice/7.3.7.2$Linux_X86_64 LibreOffice_project/30$Build-2</Application>
  <AppVersion>15.0000</AppVersion>
  <Pages>26</Pages>
  <Words>6542</Words>
  <Characters>39841</Characters>
  <CharactersWithSpaces>45789</CharactersWithSpaces>
  <Paragraphs>735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2026-04-27T19:00:44Z</dcterms:created>
  <dc:creator>Un-named</dc:creator>
  <dc:description/>
  <dc:language>en-IN</dc:language>
  <cp:lastModifiedBy/>
  <dcterms:modified xsi:type="dcterms:W3CDTF">2026-05-13T01:55:35Z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