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2563EB"/>
          <w:sz w:val="18"/>
        </w:rPr>
        <w:t>Market Landscape · Payer-Focused Competitive Scan</w:t>
      </w:r>
    </w:p>
    <w:p>
      <w:pPr>
        <w:spacing w:after="40"/>
      </w:pPr>
      <w:r>
        <w:rPr>
          <w:b/>
          <w:i w:val="0"/>
          <w:color w:val="0F172A"/>
          <w:sz w:val="34"/>
        </w:rPr>
        <w:t>AI-Native Companies for Medical Health-Insurance Payers</w:t>
      </w:r>
    </w:p>
    <w:p>
      <w:pPr>
        <w:spacing w:after="60"/>
      </w:pPr>
      <w:r>
        <w:rPr>
          <w:b w:val="0"/>
          <w:i/>
          <w:color w:val="64748B"/>
          <w:sz w:val="17"/>
        </w:rPr>
        <w:t>Compiled June 2026 · Scope: US medical health plans (commercial / Medicare Advantage / Medicaid) — payer side only. Excludes provider RCM/coding/intake, consumer tools, and workers' comp. AI-first companies (legacy incumbents — Optum, Cotiviti — excluded). Funding, clients, and positioning are point-in-time.</w:t>
      </w:r>
    </w:p>
    <w:p>
      <w:pPr>
        <w:spacing w:after="160"/>
      </w:pPr>
      <w:r>
        <w:rPr>
          <w:b w:val="0"/>
          <w:i w:val="0"/>
          <w:color w:val="475569"/>
          <w:sz w:val="17"/>
        </w:rPr>
        <w:t>Managed services?  Yes = runs the process (managed / BPaaS)  ·  Hybrid = software + managed option  ·  No = software the plan operates.   Clients are publicly disclosed; "not public" = undisclosed.</w:t>
      </w:r>
    </w:p>
    <w:p>
      <w:pPr>
        <w:spacing w:after="80"/>
      </w:pPr>
      <w:r>
        <w:rPr>
          <w:b/>
          <w:i w:val="0"/>
          <w:color w:val="1E3A5F"/>
          <w:sz w:val="24"/>
        </w:rPr>
        <w:t>1 · Prior authorization &amp; utilization management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4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Company</w:t>
            </w:r>
          </w:p>
        </w:tc>
        <w:tc>
          <w:tcPr>
            <w:tcW w:type="dxa" w:w="6336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What they do</w:t>
            </w:r>
          </w:p>
        </w:tc>
        <w:tc>
          <w:tcPr>
            <w:tcW w:type="dxa" w:w="1872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Managed services</w:t>
            </w:r>
          </w:p>
        </w:tc>
        <w:tc>
          <w:tcPr>
            <w:tcW w:type="dxa" w:w="410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Clients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Cohere Health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Category leader for PA/UM; auto-approves up to ~90% of requests; ~12M PA/yr; expanding into payment integrity.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  <w:r>
              <w:rPr>
                <w:b w:val="0"/>
                <w:color w:val="64748B"/>
                <w:sz w:val="17"/>
              </w:rPr>
              <w:t xml:space="preserve"> (Cohere Complete delegated)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Humana (national MA + Commercial), Geisinger Health Plan, CMS; ~660K providers.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Anterior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(fmr. Co:Helm) AI for health-plan back office: prior auth, payment integrity, risk adjustment; $40M raised.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  <w:r>
              <w:rPr>
                <w:b w:val="0"/>
                <w:color w:val="64748B"/>
                <w:sz w:val="17"/>
              </w:rPr>
              <w:t xml:space="preserve"> / unconfirmed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Geisinger Health Plan (others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Basys.ai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Enterprise generative AI spanning prior auth, UM, and payment integrity for health plans.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Health plans (names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Itiliti Health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Prior-authorization automation for payers (API/interoperability, CMS-0057 compliance).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Payers &amp; providers (names largely not public).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color w:val="1E3A5F"/>
          <w:sz w:val="24"/>
        </w:rPr>
        <w:t>2 · Payment integrity &amp; payment accuracy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4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Company</w:t>
            </w:r>
          </w:p>
        </w:tc>
        <w:tc>
          <w:tcPr>
            <w:tcW w:type="dxa" w:w="6336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What they do</w:t>
            </w:r>
          </w:p>
        </w:tc>
        <w:tc>
          <w:tcPr>
            <w:tcW w:type="dxa" w:w="1872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Managed services</w:t>
            </w:r>
          </w:p>
        </w:tc>
        <w:tc>
          <w:tcPr>
            <w:tcW w:type="dxa" w:w="410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Clients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Machinify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Unified pre-pay + post-pay payment-integrity platform across the claim lifecycle.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  <w:r>
              <w:rPr>
                <w:b w:val="0"/>
                <w:color w:val="64748B"/>
                <w:sz w:val="17"/>
              </w:rPr>
              <w:t xml:space="preserve"> (+ recovery services)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National/regional health plans (names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Codoxo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GenAI Unified Cost Containment; 'Point Zero' intervenes pre-claim; 80M+ lives. $69M raised ($35M Series C led by CVS Health Ventures, Dec '25).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Large US health plans (CVS Health Ventures-backed; 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Lyric (lyric.ai)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payment-accuracy for health plans; reviews &gt;50% of US claims (~190M Americans). AI-forward; legacy roots in ClaimsXten.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Major national health plans (~190M lives; 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ClarisHealth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Pareo payment-integrity platform for health plans (recoveries + admin-cost reduction).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Regional &amp; national health plans (names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Rialtic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clinical &amp; payment-policy engine for payers (payment integrity / claims editing). Lighter public detail.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Health plans (not public).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color w:val="1E3A5F"/>
          <w:sz w:val="24"/>
        </w:rPr>
        <w:t>3 · Claims operations &amp; adjudication automation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4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Company</w:t>
            </w:r>
          </w:p>
        </w:tc>
        <w:tc>
          <w:tcPr>
            <w:tcW w:type="dxa" w:w="6336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What they do</w:t>
            </w:r>
          </w:p>
        </w:tc>
        <w:tc>
          <w:tcPr>
            <w:tcW w:type="dxa" w:w="1872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Managed services</w:t>
            </w:r>
          </w:p>
        </w:tc>
        <w:tc>
          <w:tcPr>
            <w:tcW w:type="dxa" w:w="410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Clients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Alaffia Health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+ expert clinicians for end-to-end health-plan claims ops (UM, payment integrity, appeals); $55M Series B (Feb '26). Clearest AI-native BPaaS for payers.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15803D"/>
                <w:sz w:val="17"/>
              </w:rPr>
              <w:t>Yes</w:t>
            </w:r>
            <w:r>
              <w:rPr>
                <w:b w:val="0"/>
                <w:color w:val="64748B"/>
                <w:sz w:val="17"/>
              </w:rPr>
              <w:t xml:space="preserve"> (software + managed services)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Medicaid, Medicare Advantage &amp; commercial plans (&lt;=2M members), TPAs, cost-containment firms, gov agencies.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ClaimSphere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engine that auto-adjudicates claims against payer benefit logic, clinical edits, and COB with no human touch.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Payers (names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Amera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Automates claims processing for payers: messy PDF / EDI / non-standard submissions into structured, system-ready data.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Health-insurance payers (names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Curacel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claims processing/automation &amp; fraud detection for payors &amp; TPAs (strong in emerging markets - lower fit for a US-only scan).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64748B"/>
                <w:sz w:val="17"/>
              </w:rPr>
              <w:t>No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Payers, TPAs, providers (names not public).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color w:val="1E3A5F"/>
          <w:sz w:val="24"/>
        </w:rPr>
        <w:t>4 · Risk adjustment &amp; coding accuracy (payer)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64"/>
        <w:gridCol w:w="3564"/>
        <w:gridCol w:w="3564"/>
        <w:gridCol w:w="3564"/>
      </w:tblGrid>
      <w:tr>
        <w:tc>
          <w:tcPr>
            <w:tcW w:type="dxa" w:w="194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Company</w:t>
            </w:r>
          </w:p>
        </w:tc>
        <w:tc>
          <w:tcPr>
            <w:tcW w:type="dxa" w:w="6336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What they do</w:t>
            </w:r>
          </w:p>
        </w:tc>
        <w:tc>
          <w:tcPr>
            <w:tcW w:type="dxa" w:w="1872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Managed services</w:t>
            </w:r>
          </w:p>
        </w:tc>
        <w:tc>
          <w:tcPr>
            <w:tcW w:type="dxa" w:w="4104"/>
            <w:shd w:val="clear" w:fill="1E3A5F"/>
            <w:vAlign w:val="center"/>
          </w:tcPr>
          <w:p>
            <w:pPr>
              <w:spacing w:after="0" w:before="0"/>
            </w:pPr>
            <w:r>
              <w:rPr>
                <w:b/>
                <w:color w:val="FFFFFF"/>
                <w:sz w:val="17"/>
              </w:rPr>
              <w:t>Clients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Reveleer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AI risk-adjustment + quality/HEDIS for health plans; EVE maps missed diagnoses to HCCs at ~99% accuracy; record retrieval up to 80% faster.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  <w:r>
              <w:rPr>
                <w:b w:val="0"/>
                <w:color w:val="64748B"/>
                <w:sz w:val="17"/>
              </w:rPr>
              <w:t xml:space="preserve"> (+ retrieval/coding services)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Health plans &amp; risk-bearing providers (names largely not public).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after="0" w:before="0"/>
            </w:pPr>
            <w:r>
              <w:rPr>
                <w:b/>
                <w:color w:val="0F172A"/>
                <w:sz w:val="17"/>
              </w:rPr>
              <w:t>Pareto Intelligence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Payer risk-adjustment &amp; analytics (Pareto Hub data environment + actuarial/analytics services).</w:t>
            </w:r>
          </w:p>
        </w:tc>
        <w:tc>
          <w:tcPr>
            <w:tcW w:type="dxa" w:w="1872"/>
            <w:vAlign w:val="center"/>
          </w:tcPr>
          <w:p>
            <w:pPr>
              <w:spacing w:after="0" w:before="0"/>
            </w:pPr>
            <w:r>
              <w:rPr>
                <w:b/>
                <w:color w:val="B45309"/>
                <w:sz w:val="17"/>
              </w:rPr>
              <w:t>Hybrid</w:t>
            </w:r>
          </w:p>
        </w:tc>
        <w:tc>
          <w:tcPr>
            <w:tcW w:type="dxa" w:w="4104"/>
            <w:vAlign w:val="center"/>
          </w:tcPr>
          <w:p>
            <w:pPr>
              <w:spacing w:after="0" w:before="0"/>
            </w:pPr>
            <w:r>
              <w:rPr>
                <w:b w:val="0"/>
                <w:color w:val="475569"/>
                <w:sz w:val="17"/>
              </w:rPr>
              <w:t>Health plans (names not public).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color w:val="1E3A5F"/>
          <w:sz w:val="24"/>
        </w:rPr>
        <w:t>At-a-glance — who runs the process for payers (managed / BPaaS)</w:t>
      </w:r>
    </w:p>
    <w:p>
      <w:pPr>
        <w:spacing w:after="40"/>
      </w:pPr>
      <w:r>
        <w:rPr>
          <w:b/>
          <w:color w:val="15803D"/>
          <w:sz w:val="19"/>
        </w:rPr>
        <w:t xml:space="preserve">Yes (managed / BPaaS): </w:t>
      </w:r>
      <w:r>
        <w:rPr>
          <w:color w:val="475569"/>
          <w:sz w:val="19"/>
        </w:rPr>
        <w:t>Alaffia Health.</w:t>
      </w:r>
    </w:p>
    <w:p>
      <w:pPr>
        <w:spacing w:after="40"/>
      </w:pPr>
      <w:r>
        <w:rPr>
          <w:b/>
          <w:color w:val="B45309"/>
          <w:sz w:val="19"/>
        </w:rPr>
        <w:t xml:space="preserve">Hybrid (software + delegated/managed): </w:t>
      </w:r>
      <w:r>
        <w:rPr>
          <w:color w:val="475569"/>
          <w:sz w:val="19"/>
        </w:rPr>
        <w:t>Cohere Health, Machinify, Codoxo, Lyric, Rialtic, Reveleer, Pareto Intelligence.</w:t>
      </w:r>
    </w:p>
    <w:p>
      <w:pPr>
        <w:spacing w:after="40"/>
      </w:pPr>
      <w:r>
        <w:rPr>
          <w:b/>
          <w:color w:val="64748B"/>
          <w:sz w:val="19"/>
        </w:rPr>
        <w:t xml:space="preserve">No (software the plan operates): </w:t>
      </w:r>
      <w:r>
        <w:rPr>
          <w:color w:val="475569"/>
          <w:sz w:val="19"/>
        </w:rPr>
        <w:t>Anterior, Basys.ai, Itiliti Health, ClarisHealth, ClaimSphere, Amera, Curacel.</w:t>
      </w:r>
    </w:p>
    <w:p>
      <w:r>
        <w:rPr>
          <w:b/>
          <w:color w:val="1E3A5F"/>
          <w:sz w:val="19"/>
        </w:rPr>
        <w:t xml:space="preserve">Strategic read: </w:t>
      </w:r>
      <w:r>
        <w:rPr>
          <w:color w:val="475569"/>
          <w:sz w:val="19"/>
        </w:rPr>
        <w:t>even on the payer side, most AI-natives ship software; only Alaffia (and Cohere's delegated option) truly run the operation. The 'large service provider that operates payer claims ops with AI inside' lane is largely open - a differentiator worth naming.</w:t>
      </w:r>
    </w:p>
    <w:sectPr w:rsidR="00FC693F" w:rsidRPr="0006063C" w:rsidSect="00034616">
      <w:pgSz w:w="15840" w:h="12240" w:orient="landscape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