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3A5F"/>
          <w:sz w:val="44"/>
        </w:rPr>
        <w:t>Intake Agent — Live Demonstration Walkthrough</w:t>
      </w:r>
    </w:p>
    <w:p>
      <w:r>
        <w:rPr>
          <w:i/>
          <w:color w:val="475569"/>
          <w:sz w:val="24"/>
        </w:rPr>
        <w:t>A guided walkthrough of the working intake agent, on real referral packages.</w:t>
      </w:r>
    </w:p>
    <w:p>
      <w:r>
        <w:rPr>
          <w:color w:val="CBD5E1"/>
        </w:rPr>
        <w:t>——————————————————————————————</w:t>
      </w:r>
    </w:p>
    <w:p>
      <w:pPr>
        <w:spacing w:before="280" w:after="80"/>
      </w:pPr>
      <w:r>
        <w:rPr>
          <w:b/>
          <w:color w:val="1E3A5F"/>
          <w:sz w:val="26"/>
        </w:rPr>
        <w:t>Before you begin</w:t>
      </w:r>
    </w:p>
    <w:p>
      <w:pPr>
        <w:spacing w:after="160"/>
      </w:pPr>
      <w:r>
        <w:t>This guide walks an audience through the intake agent end to end — from a stack of referral documents to a complete, routed, fully auditable record. It is a working proof of concept running on real referral packages, not a slide presentation. Read the lines aloud as written, or in your own words; the goal is to let the system show its work at every step.</w:t>
      </w:r>
    </w:p>
    <w:p>
      <w:pPr>
        <w:spacing w:after="160"/>
      </w:pPr>
      <w:r>
        <w:t>Allow roughly 25–30 minutes for the walkthrough, with time for questions at the end.</w:t>
      </w:r>
    </w:p>
    <w:p>
      <w:pPr>
        <w:spacing w:before="280" w:after="80"/>
      </w:pPr>
      <w:r>
        <w:rPr>
          <w:b/>
          <w:color w:val="1E3A5F"/>
          <w:sz w:val="30"/>
        </w:rPr>
        <w:t>1.  Opening — the problem in one breath</w:t>
      </w:r>
    </w:p>
    <w:p>
      <w:pPr>
        <w:spacing w:after="120"/>
      </w:pPr>
      <w:r>
        <w:rPr>
          <w:b/>
          <w:color w:val="2563EB"/>
        </w:rPr>
        <w:t xml:space="preserve">Say:  </w:t>
      </w:r>
      <w:r>
        <w:rPr>
          <w:i/>
        </w:rPr>
        <w:t>“Every referral that arrives today is a person reading three or four documents — a referral form, clinical notes, a prescription — pulling out the key fields by hand, spotting what’s missing, and chasing the case manager for the rest. It’s accurate when people are fresh, and slower when they’re buried. What you’re about to see is an agent doing that same intake work end to end, on real referral packages, and showing its reasoning at every step.”</w:t>
      </w:r>
    </w:p>
    <w:p>
      <w:pPr>
        <w:spacing w:after="160"/>
        <w:ind w:left="288"/>
      </w:pPr>
      <w:r>
        <w:rPr>
          <w:b/>
          <w:color w:val="15803D"/>
        </w:rPr>
        <w:t xml:space="preserve">Key message:  </w:t>
      </w:r>
      <w:r>
        <w:t>We are not replacing judgment. We are removing the manual reading and the chasing, and making every decision traceable.</w:t>
      </w:r>
    </w:p>
    <w:p>
      <w:pPr>
        <w:spacing w:before="280" w:after="80"/>
      </w:pPr>
      <w:r>
        <w:rPr>
          <w:b/>
          <w:color w:val="1E3A5F"/>
          <w:sz w:val="30"/>
        </w:rPr>
        <w:t>2.  The starting point — what the system covers</w:t>
      </w:r>
    </w:p>
    <w:p>
      <w:pPr>
        <w:spacing w:after="80"/>
      </w:pPr>
      <w:r>
        <w:rPr>
          <w:b/>
          <w:color w:val="475569"/>
        </w:rPr>
        <w:t xml:space="preserve">On screen:  </w:t>
      </w:r>
      <w:r>
        <w:t>The launch hub, with its set of capability cards.</w:t>
      </w:r>
    </w:p>
    <w:p>
      <w:pPr>
        <w:spacing w:after="120"/>
      </w:pPr>
      <w:r>
        <w:rPr>
          <w:b/>
          <w:color w:val="2563EB"/>
        </w:rPr>
        <w:t xml:space="preserve">Say:  </w:t>
      </w:r>
      <w:r>
        <w:rPr>
          <w:i/>
        </w:rPr>
        <w:t>“Everything launches from one place. The centerpiece is the live intake agent. Around it sit live operational metrics, an analytics layer, a scale-and-cost view, and a training module for new associates. We’ll spend most of our time in the live agent and come back to the rest.”</w:t>
      </w:r>
    </w:p>
    <w:p>
      <w:pPr>
        <w:spacing w:before="280" w:after="80"/>
      </w:pPr>
      <w:r>
        <w:rPr>
          <w:b/>
          <w:color w:val="1E3A5F"/>
          <w:sz w:val="30"/>
        </w:rPr>
        <w:t>3.  Live processing — watch it work</w:t>
      </w:r>
    </w:p>
    <w:p>
      <w:pPr>
        <w:spacing w:after="80"/>
      </w:pPr>
      <w:r>
        <w:rPr>
          <w:b/>
          <w:color w:val="475569"/>
        </w:rPr>
        <w:t xml:space="preserve">On screen:  </w:t>
      </w:r>
      <w:r>
        <w:t>A queue of incoming referrals processing in real time.</w:t>
      </w:r>
    </w:p>
    <w:p>
      <w:pPr>
        <w:spacing w:after="120"/>
      </w:pPr>
      <w:r>
        <w:rPr>
          <w:b/>
          <w:color w:val="2563EB"/>
        </w:rPr>
        <w:t xml:space="preserve">Say:  </w:t>
      </w:r>
      <w:r>
        <w:rPr>
          <w:i/>
        </w:rPr>
        <w:t>“These are real referral packages going through the agent right now. For each one it reads every page, extracts the fields, checks them against a rules engine, scores its own confidence, and decides: route it, or flag a gap. Watch the rows resolve — patient, equipment, priority, missing items — with no manual data entry.”</w:t>
      </w:r>
    </w:p>
    <w:p>
      <w:pPr>
        <w:spacing w:after="160"/>
        <w:ind w:left="288"/>
      </w:pPr>
      <w:r>
        <w:rPr>
          <w:b/>
          <w:color w:val="15803D"/>
        </w:rPr>
        <w:t xml:space="preserve">Key message:  </w:t>
      </w:r>
      <w:r>
        <w:t>Outreach is drafted, never blind-sent — a person still approves anything that leaves the building.</w:t>
      </w:r>
    </w:p>
    <w:p>
      <w:pPr>
        <w:spacing w:after="200"/>
      </w:pPr>
      <w:r>
        <w:t>As the queue runs, point out one referral you’ll open in detail, and say you’ll go in while the others finish.</w:t>
      </w:r>
    </w:p>
    <w:p>
      <w:pPr>
        <w:spacing w:before="280" w:after="80"/>
      </w:pPr>
      <w:r>
        <w:rPr>
          <w:b/>
          <w:color w:val="1E3A5F"/>
          <w:sz w:val="30"/>
        </w:rPr>
        <w:t>4.  Inside one referral — the “is it real?” moment</w:t>
      </w:r>
    </w:p>
    <w:p>
      <w:pPr>
        <w:spacing w:after="80"/>
      </w:pPr>
      <w:r>
        <w:rPr>
          <w:b/>
          <w:color w:val="475569"/>
        </w:rPr>
        <w:t xml:space="preserve">On screen:  </w:t>
      </w:r>
      <w:r>
        <w:t>The full step-by-step pipeline for a single referral.</w:t>
      </w:r>
    </w:p>
    <w:p>
      <w:pPr>
        <w:spacing w:after="160"/>
      </w:pPr>
      <w:r>
        <w:t>Walk the steps from the top.</w:t>
      </w:r>
    </w:p>
    <w:p>
      <w:pPr>
        <w:spacing w:after="120"/>
      </w:pPr>
      <w:r>
        <w:rPr>
          <w:b/>
          <w:color w:val="2563EB"/>
        </w:rPr>
        <w:t xml:space="preserve">Say:  </w:t>
      </w:r>
      <w:r>
        <w:rPr>
          <w:i/>
        </w:rPr>
        <w:t>“Three source documents. The agent pulled every field and tells you exactly where each value came from. Nothing is invented — if it isn’t in the documents, it’s a gap, not a guess.”</w:t>
      </w:r>
    </w:p>
    <w:p>
      <w:pPr>
        <w:spacing w:after="120"/>
      </w:pPr>
      <w:r>
        <w:rPr>
          <w:b/>
          <w:color w:val="2563EB"/>
        </w:rPr>
        <w:t xml:space="preserve">Say:  </w:t>
      </w:r>
      <w:r>
        <w:rPr>
          <w:i/>
        </w:rPr>
        <w:t>“Extraction alone isn’t trust. Every field is then checked against a rules engine built on published clinical and coverage rules, each one cited. This is the difference between ‘the AI said so’ and ‘the rule says so, and here’s the citation.’”</w:t>
      </w:r>
    </w:p>
    <w:p>
      <w:pPr>
        <w:spacing w:after="120"/>
      </w:pPr>
      <w:r>
        <w:rPr>
          <w:b/>
          <w:color w:val="2563EB"/>
        </w:rPr>
        <w:t xml:space="preserve">Say:  </w:t>
      </w:r>
      <w:r>
        <w:rPr>
          <w:i/>
        </w:rPr>
        <w:t>“Here’s where it gets honest. The three documents disagree on diagnosis codes. The agent resolves the ones it’s confident about — but on one of them the evidence is split, its confidence drops below the threshold, and it stops. It does not guess. It escalates to a human, with its reasoning attached.”</w:t>
      </w:r>
    </w:p>
    <w:p>
      <w:pPr>
        <w:spacing w:after="160"/>
        <w:ind w:left="288"/>
      </w:pPr>
      <w:r>
        <w:rPr>
          <w:b/>
          <w:color w:val="15803D"/>
        </w:rPr>
        <w:t xml:space="preserve">Key message:  </w:t>
      </w:r>
      <w:r>
        <w:t>The restraint is the feature. The agent knows what it doesn’t know, and escalates instead of guessing.</w:t>
      </w:r>
    </w:p>
    <w:p>
      <w:pPr>
        <w:spacing w:after="120"/>
      </w:pPr>
      <w:r>
        <w:rPr>
          <w:b/>
          <w:color w:val="2563EB"/>
        </w:rPr>
        <w:t xml:space="preserve">Say:  </w:t>
      </w:r>
      <w:r>
        <w:rPr>
          <w:i/>
        </w:rPr>
        <w:t>“It also reads the jurisdiction and applies the right turnaround clock — some states carry a tighter service-level deadline, and the agent prioritizes accordingly.”</w:t>
      </w:r>
    </w:p>
    <w:p>
      <w:pPr>
        <w:spacing w:before="280" w:after="80"/>
      </w:pPr>
      <w:r>
        <w:rPr>
          <w:b/>
          <w:color w:val="1E3A5F"/>
          <w:sz w:val="30"/>
        </w:rPr>
        <w:t>5.  Reaching out — email, then a live phone call</w:t>
      </w:r>
    </w:p>
    <w:p>
      <w:pPr>
        <w:spacing w:after="80"/>
      </w:pPr>
      <w:r>
        <w:rPr>
          <w:b/>
          <w:color w:val="475569"/>
        </w:rPr>
        <w:t xml:space="preserve">On screen:  </w:t>
      </w:r>
      <w:r>
        <w:t>The outreach step, where the agent contacts the case manager for the missing items.</w:t>
      </w:r>
    </w:p>
    <w:p>
      <w:pPr>
        <w:spacing w:after="120"/>
      </w:pPr>
      <w:r>
        <w:rPr>
          <w:b/>
          <w:color w:val="2563EB"/>
        </w:rPr>
        <w:t xml:space="preserve">Say:  </w:t>
      </w:r>
      <w:r>
        <w:rPr>
          <w:i/>
        </w:rPr>
        <w:t>“For the missing items, the agent first drafts an email to the case manager, ready for a person to approve and send. When email goes unanswered, it picks up the phone.”</w:t>
      </w:r>
    </w:p>
    <w:p>
      <w:pPr>
        <w:spacing w:after="160"/>
      </w:pPr>
      <w:r>
        <w:t>At this point the agent places a live outbound call to collect the outstanding details. Put the call on speaker so the audience can hear it.</w:t>
      </w:r>
    </w:p>
    <w:p>
      <w:pPr>
        <w:spacing w:after="120"/>
      </w:pPr>
      <w:r>
        <w:rPr>
          <w:b/>
          <w:color w:val="2563EB"/>
        </w:rPr>
        <w:t xml:space="preserve">Say:  </w:t>
      </w:r>
      <w:r>
        <w:rPr>
          <w:i/>
        </w:rPr>
        <w:t>“Listen for a few things: it reads the claim number clearly, it confirms the physician’s identifier is complete, it repeats each item back to me — and then it thanks me and closes the call properly. No awkward silences, no abrupt hang-up.”</w:t>
      </w:r>
    </w:p>
    <w:p>
      <w:pPr>
        <w:spacing w:after="120"/>
      </w:pPr>
      <w:r>
        <w:rPr>
          <w:b/>
          <w:color w:val="2563EB"/>
        </w:rPr>
        <w:t xml:space="preserve">Say:  </w:t>
      </w:r>
      <w:r>
        <w:rPr>
          <w:i/>
        </w:rPr>
        <w:t>“And now — only once the call has actually gone out — the transcript appears, logged automatically against this referral.”</w:t>
      </w:r>
    </w:p>
    <w:p>
      <w:pPr>
        <w:spacing w:before="280" w:after="80"/>
      </w:pPr>
      <w:r>
        <w:rPr>
          <w:b/>
          <w:color w:val="1E3A5F"/>
          <w:sz w:val="30"/>
        </w:rPr>
        <w:t>6.  The complete record — and the audit trail</w:t>
      </w:r>
    </w:p>
    <w:p>
      <w:pPr>
        <w:spacing w:after="80"/>
      </w:pPr>
      <w:r>
        <w:rPr>
          <w:b/>
          <w:color w:val="475569"/>
        </w:rPr>
        <w:t xml:space="preserve">On screen:  </w:t>
      </w:r>
      <w:r>
        <w:t>The final referral record, then the audit trail for the same referral.</w:t>
      </w:r>
    </w:p>
    <w:p>
      <w:pPr>
        <w:spacing w:after="120"/>
      </w:pPr>
      <w:r>
        <w:rPr>
          <w:b/>
          <w:color w:val="2563EB"/>
        </w:rPr>
        <w:t xml:space="preserve">Say:  </w:t>
      </w:r>
      <w:r>
        <w:rPr>
          <w:i/>
        </w:rPr>
        <w:t>“Every field populated, every gap resolved — by email, by phone, or by the agent’s own correction. The moment this record locks, it’s ready to dispatch.”</w:t>
      </w:r>
    </w:p>
    <w:p>
      <w:pPr>
        <w:spacing w:after="120"/>
      </w:pPr>
      <w:r>
        <w:rPr>
          <w:b/>
          <w:color w:val="2563EB"/>
        </w:rPr>
        <w:t xml:space="preserve">Say:  </w:t>
      </w:r>
      <w:r>
        <w:rPr>
          <w:i/>
        </w:rPr>
        <w:t>“And this is the part the compliance and technology leads care about. For any referral you get the full trace: what the agent read, which rules fired and their citations, its confidence at each decision, the jurisdiction logic, and every outreach action taken.”</w:t>
      </w:r>
    </w:p>
    <w:p>
      <w:pPr>
        <w:spacing w:after="160"/>
        <w:ind w:left="288"/>
      </w:pPr>
      <w:r>
        <w:rPr>
          <w:b/>
          <w:color w:val="15803D"/>
        </w:rPr>
        <w:t xml:space="preserve">Key message:  </w:t>
      </w:r>
      <w:r>
        <w:t>Defensibility is one click, not an investigation.</w:t>
      </w:r>
    </w:p>
    <w:p>
      <w:pPr>
        <w:spacing w:before="280" w:after="80"/>
      </w:pPr>
      <w:r>
        <w:rPr>
          <w:b/>
          <w:color w:val="1E3A5F"/>
          <w:sz w:val="30"/>
        </w:rPr>
        <w:t>7.  Intake by fax — live</w:t>
      </w:r>
    </w:p>
    <w:p>
      <w:pPr>
        <w:spacing w:after="80"/>
      </w:pPr>
      <w:r>
        <w:rPr>
          <w:b/>
          <w:color w:val="475569"/>
        </w:rPr>
        <w:t xml:space="preserve">On screen:  </w:t>
      </w:r>
      <w:r>
        <w:t>The incoming-fax panel, showing the live intake fax number.</w:t>
      </w:r>
    </w:p>
    <w:p>
      <w:pPr>
        <w:spacing w:after="120"/>
      </w:pPr>
      <w:r>
        <w:rPr>
          <w:b/>
          <w:color w:val="2563EB"/>
        </w:rPr>
        <w:t xml:space="preserve">Say:  </w:t>
      </w:r>
      <w:r>
        <w:rPr>
          <w:i/>
        </w:rPr>
        <w:t>“Intake doesn’t only come from a neat queue — a great deal of it still arrives by fax. This is our live intake line. Fax a referral package — the three documents together — to this number, and it lands in the processing queue automatically; the agent begins working on it within about thirty seconds.”</w:t>
      </w:r>
    </w:p>
    <w:p>
      <w:pPr>
        <w:spacing w:after="160"/>
      </w:pPr>
      <w:r>
        <w:t>You can demonstrate this live by faxing a package to the number on screen and watching a new row appear at the top of the queue, or use the on-screen sample to show the same flow.</w:t>
      </w:r>
    </w:p>
    <w:p>
      <w:pPr>
        <w:spacing w:before="280" w:after="80"/>
      </w:pPr>
      <w:r>
        <w:rPr>
          <w:b/>
          <w:color w:val="1E3A5F"/>
          <w:sz w:val="30"/>
        </w:rPr>
        <w:t>8.  Scale and cost — the honest version</w:t>
      </w:r>
    </w:p>
    <w:p>
      <w:pPr>
        <w:spacing w:after="80"/>
      </w:pPr>
      <w:r>
        <w:rPr>
          <w:b/>
          <w:color w:val="475569"/>
        </w:rPr>
        <w:t xml:space="preserve">On screen:  </w:t>
      </w:r>
      <w:r>
        <w:t>The scale-and-cost view, with adjustable inputs.</w:t>
      </w:r>
    </w:p>
    <w:p>
      <w:pPr>
        <w:spacing w:after="120"/>
      </w:pPr>
      <w:r>
        <w:rPr>
          <w:b/>
          <w:color w:val="2563EB"/>
        </w:rPr>
        <w:t xml:space="preserve">Say:  </w:t>
      </w:r>
      <w:r>
        <w:rPr>
          <w:i/>
        </w:rPr>
        <w:t>“The question every leader asks: does this hold up at volume, and what does it cost? Here’s the honest answer — and you can change the inputs yourself.”</w:t>
      </w:r>
    </w:p>
    <w:p>
      <w:pPr>
        <w:spacing w:after="160"/>
      </w:pPr>
      <w:r>
        <w:t>Walk the three scenarios: today’s standard configuration; a scaled, real-time configuration that processes roughly ten thousand referrals in about seven minutes; and an asynchronous batch mode at roughly half the per-referral cost for non-urgent volume.</w:t>
      </w:r>
    </w:p>
    <w:p>
      <w:pPr>
        <w:spacing w:after="160"/>
        <w:ind w:left="288"/>
      </w:pPr>
      <w:r>
        <w:rPr>
          <w:b/>
          <w:color w:val="15803D"/>
        </w:rPr>
        <w:t xml:space="preserve">Key message:  </w:t>
      </w:r>
      <w:r>
        <w:t>Cost is a few cents per referral, measured on the actual run — not estimated — and the numbers move the moment you change the inputs. We add capacity; there is no hidden cap.</w:t>
      </w:r>
    </w:p>
    <w:p>
      <w:pPr>
        <w:spacing w:before="280" w:after="80"/>
      </w:pPr>
      <w:r>
        <w:rPr>
          <w:b/>
          <w:color w:val="1E3A5F"/>
          <w:sz w:val="30"/>
        </w:rPr>
        <w:t>9.  The broader layer (optional)</w:t>
      </w:r>
    </w:p>
    <w:p>
      <w:pPr>
        <w:spacing w:after="80"/>
      </w:pPr>
      <w:r>
        <w:rPr>
          <w:b/>
          <w:color w:val="475569"/>
        </w:rPr>
        <w:t xml:space="preserve">On screen:  </w:t>
      </w:r>
      <w:r>
        <w:t>Live metrics, analytics, and the training module.</w:t>
      </w:r>
    </w:p>
    <w:p>
      <w:pPr>
        <w:spacing w:after="120"/>
      </w:pPr>
      <w:r>
        <w:rPr>
          <w:b/>
          <w:color w:val="2563EB"/>
        </w:rPr>
        <w:t xml:space="preserve">Say:  </w:t>
      </w:r>
      <w:r>
        <w:rPr>
          <w:i/>
        </w:rPr>
        <w:t>“The agent is one layer. Around it you get live observability, an analytics view of trends like escalation and auto-routing rates, and a path to bring your associates along — so this augments your team rather than becoming a black box.”</w:t>
      </w:r>
    </w:p>
    <w:p>
      <w:pPr>
        <w:spacing w:before="280" w:after="80"/>
      </w:pPr>
      <w:r>
        <w:rPr>
          <w:b/>
          <w:color w:val="1E3A5F"/>
          <w:sz w:val="30"/>
        </w:rPr>
        <w:t>10.  Closing</w:t>
      </w:r>
    </w:p>
    <w:p>
      <w:pPr>
        <w:spacing w:after="120"/>
      </w:pPr>
      <w:r>
        <w:rPr>
          <w:b/>
          <w:color w:val="2563EB"/>
        </w:rPr>
        <w:t xml:space="preserve">Say:  </w:t>
      </w:r>
      <w:r>
        <w:rPr>
          <w:i/>
        </w:rPr>
        <w:t>“What you’ve seen is a working proof of concept on real referral packages. It reads, it validates against cited rules, it knows its own confidence, it escalates instead of guessing, it reaches out by email and by phone, it takes in faxes live, and it logs every step for audit. The next step isn’t ‘will it work’ — you’ve just watched it. The next step is to run it on a sample of your own intake packages, with no integration and nothing sensitive shared, so we start from your data.”</w:t>
      </w:r>
    </w:p>
    <w:p>
      <w:pPr>
        <w:spacing w:before="280" w:after="80"/>
      </w:pPr>
      <w:r>
        <w:rPr>
          <w:b/>
          <w:color w:val="1E3A5F"/>
          <w:sz w:val="26"/>
        </w:rPr>
        <w:t>Quick reference — lines to land</w:t>
      </w:r>
    </w:p>
    <w:tbl>
      <w:tblPr>
        <w:tblStyle w:val="LightGrid-Accent1"/>
        <w:tblW w:type="auto" w:w="0"/>
        <w:tblLook w:firstColumn="1" w:firstRow="1" w:lastColumn="0" w:lastRow="0" w:noHBand="0" w:noVBand="1" w:val="04A0"/>
      </w:tblPr>
      <w:tblGrid>
        <w:gridCol w:w="4320"/>
        <w:gridCol w:w="4320"/>
      </w:tblGrid>
      <w:tr>
        <w:tc>
          <w:tcPr>
            <w:tcW w:type="dxa" w:w="4320"/>
          </w:tcPr>
          <w:p>
            <w:r>
              <w:rPr>
                <w:b/>
              </w:rPr>
              <w:t>Moment</w:t>
            </w:r>
          </w:p>
        </w:tc>
        <w:tc>
          <w:tcPr>
            <w:tcW w:type="dxa" w:w="4320"/>
          </w:tcPr>
          <w:p>
            <w:r>
              <w:rPr>
                <w:b/>
              </w:rPr>
              <w:t>Line to land</w:t>
            </w:r>
          </w:p>
        </w:tc>
      </w:tr>
      <w:tr>
        <w:tc>
          <w:tcPr>
            <w:tcW w:type="dxa" w:w="4320"/>
          </w:tcPr>
          <w:p>
            <w:r>
              <w:t>Why it’s credible</w:t>
            </w:r>
          </w:p>
        </w:tc>
        <w:tc>
          <w:tcPr>
            <w:tcW w:type="dxa" w:w="4320"/>
          </w:tcPr>
          <w:p>
            <w:r>
              <w:t>It shows its work at every step.</w:t>
            </w:r>
          </w:p>
        </w:tc>
      </w:tr>
      <w:tr>
        <w:tc>
          <w:tcPr>
            <w:tcW w:type="dxa" w:w="4320"/>
          </w:tcPr>
          <w:p>
            <w:r>
              <w:t>The escalation moment</w:t>
            </w:r>
          </w:p>
        </w:tc>
        <w:tc>
          <w:tcPr>
            <w:tcW w:type="dxa" w:w="4320"/>
          </w:tcPr>
          <w:p>
            <w:r>
              <w:t>The agent does not guess — that restraint is the feature.</w:t>
            </w:r>
          </w:p>
        </w:tc>
      </w:tr>
      <w:tr>
        <w:tc>
          <w:tcPr>
            <w:tcW w:type="dxa" w:w="4320"/>
          </w:tcPr>
          <w:p>
            <w:r>
              <w:t>For compliance</w:t>
            </w:r>
          </w:p>
        </w:tc>
        <w:tc>
          <w:tcPr>
            <w:tcW w:type="dxa" w:w="4320"/>
          </w:tcPr>
          <w:p>
            <w:r>
              <w:t>Defensibility is one click, not an investigation.</w:t>
            </w:r>
          </w:p>
        </w:tc>
      </w:tr>
      <w:tr>
        <w:tc>
          <w:tcPr>
            <w:tcW w:type="dxa" w:w="4320"/>
          </w:tcPr>
          <w:p>
            <w:r>
              <w:t>The phone call</w:t>
            </w:r>
          </w:p>
        </w:tc>
        <w:tc>
          <w:tcPr>
            <w:tcW w:type="dxa" w:w="4320"/>
          </w:tcPr>
          <w:p>
            <w:r>
              <w:t>It reads clearly, confirms each item, thanks the caller, and closes — no dead air.</w:t>
            </w:r>
          </w:p>
        </w:tc>
      </w:tr>
      <w:tr>
        <w:tc>
          <w:tcPr>
            <w:tcW w:type="dxa" w:w="4320"/>
          </w:tcPr>
          <w:p>
            <w:r>
              <w:t>On cost</w:t>
            </w:r>
          </w:p>
        </w:tc>
        <w:tc>
          <w:tcPr>
            <w:tcW w:type="dxa" w:w="4320"/>
          </w:tcPr>
          <w:p>
            <w:r>
              <w:t>A few cents per referral, measured — and the numbers move when you move the inputs.</w:t>
            </w:r>
          </w:p>
        </w:tc>
      </w:tr>
      <w:tr>
        <w:tc>
          <w:tcPr>
            <w:tcW w:type="dxa" w:w="4320"/>
          </w:tcPr>
          <w:p>
            <w:r>
              <w:t>On scale</w:t>
            </w:r>
          </w:p>
        </w:tc>
        <w:tc>
          <w:tcPr>
            <w:tcW w:type="dxa" w:w="4320"/>
          </w:tcPr>
          <w:p>
            <w:r>
              <w:t>We add capacity, not magic.</w:t>
            </w:r>
          </w:p>
        </w:tc>
      </w:tr>
      <w:tr>
        <w:tc>
          <w:tcPr>
            <w:tcW w:type="dxa" w:w="4320"/>
          </w:tcPr>
          <w:p>
            <w:r>
              <w:t>The close</w:t>
            </w:r>
          </w:p>
        </w:tc>
        <w:tc>
          <w:tcPr>
            <w:tcW w:type="dxa" w:w="4320"/>
          </w:tcPr>
          <w:p>
            <w:r>
              <w:t>The question isn’t ‘will it work.’ You just watched it.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