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3A5F"/>
          <w:sz w:val="44"/>
        </w:rPr>
        <w:t>Intake Agent — Live Demonstration Walkthrough</w:t>
      </w:r>
    </w:p>
    <w:p>
      <w:r>
        <w:rPr>
          <w:i/>
          <w:color w:val="475569"/>
          <w:sz w:val="24"/>
        </w:rPr>
        <w:t>A guided walkthrough of the working intake agent, on real referral packages.</w:t>
      </w:r>
    </w:p>
    <w:p>
      <w:r>
        <w:rPr>
          <w:color w:val="CBD5E1"/>
        </w:rPr>
        <w:t>——————————————————————————————</w:t>
      </w:r>
    </w:p>
    <w:p>
      <w:pPr>
        <w:spacing w:before="280" w:after="80"/>
      </w:pPr>
      <w:r>
        <w:rPr>
          <w:b/>
          <w:color w:val="1E3A5F"/>
          <w:sz w:val="26"/>
        </w:rPr>
        <w:t>Before you begin</w:t>
      </w:r>
    </w:p>
    <w:p>
      <w:pPr>
        <w:spacing w:after="160"/>
      </w:pPr>
      <w:r>
        <w:t>This guide walks an audience through the intake agent end to end — from a stack of referral documents to a complete, routed, fully auditable record. It is a working proof of concept running on real referral packages, not a slide presentation. Read the lines aloud as written, or in your own words; the goal is to let the system show its work at every step.</w:t>
      </w:r>
    </w:p>
    <w:p>
      <w:pPr>
        <w:spacing w:after="160"/>
      </w:pPr>
      <w:r>
        <w:t>Allow roughly 25–30 minutes for the walkthrough, with time for questions at the end.</w:t>
      </w:r>
    </w:p>
    <w:p>
      <w:pPr>
        <w:spacing w:after="100"/>
      </w:pPr>
      <w:r>
        <w:rPr>
          <w:b/>
          <w:color w:val="1E3A5F"/>
        </w:rPr>
        <w:t xml:space="preserve">➤ Navigate:  </w:t>
      </w:r>
      <w:r>
        <w:rPr>
          <w:b/>
        </w:rPr>
        <w:t>Open the demonstration link in a browser, enter the access password, and click “Enter POC.” You’ll arrive on the Hub — the home screen with a grid of cards on the left and one large “Launch POC” card on the right. Start every stop below from the Hub.</w:t>
      </w:r>
    </w:p>
    <w:p>
      <w:pPr>
        <w:spacing w:before="280" w:after="80"/>
      </w:pPr>
      <w:r>
        <w:rPr>
          <w:b/>
          <w:color w:val="1E3A5F"/>
          <w:sz w:val="26"/>
        </w:rPr>
        <w:t>Click-path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Stop</w:t>
            </w:r>
          </w:p>
        </w:tc>
        <w:tc>
          <w:tcPr>
            <w:tcW w:type="dxa" w:w="4320"/>
          </w:tcPr>
          <w:p>
            <w:r>
              <w:rPr>
                <w:b/>
              </w:rPr>
              <w:t>Where to click</w:t>
            </w:r>
          </w:p>
        </w:tc>
      </w:tr>
      <w:tr>
        <w:tc>
          <w:tcPr>
            <w:tcW w:type="dxa" w:w="4320"/>
          </w:tcPr>
          <w:p>
            <w:r>
              <w:t>1–2</w:t>
            </w:r>
          </w:p>
        </w:tc>
        <w:tc>
          <w:tcPr>
            <w:tcW w:type="dxa" w:w="4320"/>
          </w:tcPr>
          <w:p>
            <w:r>
              <w:t>Hub → click “8-Agent Value Chain” → back to Hub (top-left “Coastal DME”)</w:t>
            </w:r>
          </w:p>
        </w:tc>
      </w:tr>
      <w:tr>
        <w:tc>
          <w:tcPr>
            <w:tcW w:type="dxa" w:w="4320"/>
          </w:tcPr>
          <w:p>
            <w:r>
              <w:t>3</w:t>
            </w:r>
          </w:p>
        </w:tc>
        <w:tc>
          <w:tcPr>
            <w:tcW w:type="dxa" w:w="4320"/>
          </w:tcPr>
          <w:p>
            <w:r>
              <w:t>Hub → click “Launch POC” → click “Start Live Processing”</w:t>
            </w:r>
          </w:p>
        </w:tc>
      </w:tr>
      <w:tr>
        <w:tc>
          <w:tcPr>
            <w:tcW w:type="dxa" w:w="4320"/>
          </w:tcPr>
          <w:p>
            <w:r>
              <w:t>4</w:t>
            </w:r>
          </w:p>
        </w:tc>
        <w:tc>
          <w:tcPr>
            <w:tcW w:type="dxa" w:w="4320"/>
          </w:tcPr>
          <w:p>
            <w:r>
              <w:t>Click the highlighted James Holloway → step through with the “→” buttons (Step 1–7)</w:t>
            </w:r>
          </w:p>
        </w:tc>
      </w:tr>
      <w:tr>
        <w:tc>
          <w:tcPr>
            <w:tcW w:type="dxa" w:w="4320"/>
          </w:tcPr>
          <w:p>
            <w:r>
              <w:t>5</w:t>
            </w:r>
          </w:p>
        </w:tc>
        <w:tc>
          <w:tcPr>
            <w:tcW w:type="dxa" w:w="4320"/>
          </w:tcPr>
          <w:p>
            <w:r>
              <w:t>Step 05 Email → Step 06 Voice (call auto-places — answer on speaker)</w:t>
            </w:r>
          </w:p>
        </w:tc>
      </w:tr>
      <w:tr>
        <w:tc>
          <w:tcPr>
            <w:tcW w:type="dxa" w:w="4320"/>
          </w:tcPr>
          <w:p>
            <w:r>
              <w:t>6</w:t>
            </w:r>
          </w:p>
        </w:tc>
        <w:tc>
          <w:tcPr>
            <w:tcW w:type="dxa" w:w="4320"/>
          </w:tcPr>
          <w:p>
            <w:r>
              <w:t>Step 07 Route Output → back to Hub → “Observability Dashboard” → drill into episode</w:t>
            </w:r>
          </w:p>
        </w:tc>
      </w:tr>
      <w:tr>
        <w:tc>
          <w:tcPr>
            <w:tcW w:type="dxa" w:w="4320"/>
          </w:tcPr>
          <w:p>
            <w:r>
              <w:t>7</w:t>
            </w:r>
          </w:p>
        </w:tc>
        <w:tc>
          <w:tcPr>
            <w:tcW w:type="dxa" w:w="4320"/>
          </w:tcPr>
          <w:p>
            <w:r>
              <w:t>Hub → “Launch POC” → click “Receive New Fax”</w:t>
            </w:r>
          </w:p>
        </w:tc>
      </w:tr>
      <w:tr>
        <w:tc>
          <w:tcPr>
            <w:tcW w:type="dxa" w:w="4320"/>
          </w:tcPr>
          <w:p>
            <w:r>
              <w:t>8</w:t>
            </w:r>
          </w:p>
        </w:tc>
        <w:tc>
          <w:tcPr>
            <w:tcW w:type="dxa" w:w="4320"/>
          </w:tcPr>
          <w:p>
            <w:r>
              <w:t>Hub → “Scale &amp; Cost Calculator”</w:t>
            </w:r>
          </w:p>
        </w:tc>
      </w:tr>
      <w:tr>
        <w:tc>
          <w:tcPr>
            <w:tcW w:type="dxa" w:w="4320"/>
          </w:tcPr>
          <w:p>
            <w:r>
              <w:t>9</w:t>
            </w:r>
          </w:p>
        </w:tc>
        <w:tc>
          <w:tcPr>
            <w:tcW w:type="dxa" w:w="4320"/>
          </w:tcPr>
          <w:p>
            <w:r>
              <w:t>Hub → “Live Observability Dashboard” / “Referral Analytics” / “Coached Intake Simulator”</w:t>
            </w:r>
          </w:p>
        </w:tc>
      </w:tr>
    </w:tbl>
    <w:p>
      <w:pPr>
        <w:spacing w:before="280" w:after="80"/>
      </w:pPr>
      <w:r>
        <w:rPr>
          <w:b/>
          <w:color w:val="1E3A5F"/>
          <w:sz w:val="30"/>
        </w:rPr>
        <w:t>1.  Opening — the problem in one breath</w:t>
      </w:r>
    </w:p>
    <w:p>
      <w:pPr>
        <w:spacing w:after="100"/>
      </w:pPr>
      <w:r>
        <w:rPr>
          <w:b/>
          <w:color w:val="1E3A5F"/>
        </w:rPr>
        <w:t xml:space="preserve">➤ Navigate:  </w:t>
      </w:r>
      <w:r>
        <w:rPr>
          <w:b/>
        </w:rPr>
        <w:t>Stay on the Hub for this opening. (Optional: click the “8-Agent Value Chain” card to show the bigger picture, then click the “Coastal DME” name at the top-left to come back.)</w:t>
      </w:r>
    </w:p>
    <w:p>
      <w:pPr>
        <w:spacing w:after="120"/>
      </w:pPr>
      <w:r>
        <w:rPr>
          <w:b/>
          <w:color w:val="2563EB"/>
        </w:rPr>
        <w:t xml:space="preserve">Say:  </w:t>
      </w:r>
      <w:r>
        <w:rPr>
          <w:i/>
        </w:rPr>
        <w:t>“Every referral that arrives today is a person reading three or four documents — a referral form, clinical notes, a prescription — pulling out the key fields by hand, spotting what’s missing, and chasing the case manager for the rest. It’s accurate when people are fresh, and slower when they’re buried. What you’re about to see is an agent doing that same intake work end to end, on real referral packages, and showing its reasoning at every step.”</w:t>
      </w:r>
    </w:p>
    <w:p>
      <w:pPr>
        <w:spacing w:after="160"/>
        <w:ind w:left="288"/>
      </w:pPr>
      <w:r>
        <w:rPr>
          <w:b/>
          <w:color w:val="15803D"/>
        </w:rPr>
        <w:t xml:space="preserve">Key message:  </w:t>
      </w:r>
      <w:r>
        <w:t>We are not replacing judgment. We are removing the manual reading and the chasing, and making every decision traceable.</w:t>
      </w:r>
    </w:p>
    <w:p>
      <w:pPr>
        <w:spacing w:before="280" w:after="80"/>
      </w:pPr>
      <w:r>
        <w:rPr>
          <w:b/>
          <w:color w:val="1E3A5F"/>
          <w:sz w:val="30"/>
        </w:rPr>
        <w:t>2.  The starting point — what the system covers</w:t>
      </w:r>
    </w:p>
    <w:p>
      <w:pPr>
        <w:spacing w:after="100"/>
      </w:pPr>
      <w:r>
        <w:rPr>
          <w:b/>
          <w:color w:val="1E3A5F"/>
        </w:rPr>
        <w:t xml:space="preserve">➤ Navigate:  </w:t>
      </w:r>
      <w:r>
        <w:rPr>
          <w:b/>
        </w:rPr>
        <w:t>On the Hub, click the “8-Agent Value Chain” card. After you’ve framed it, click the “Coastal DME” name at the top-left to return to the Hub.</w:t>
      </w:r>
    </w:p>
    <w:p>
      <w:pPr>
        <w:spacing w:after="80"/>
      </w:pPr>
      <w:r>
        <w:rPr>
          <w:b/>
          <w:color w:val="475569"/>
        </w:rPr>
        <w:t xml:space="preserve">On screen:  </w:t>
      </w:r>
      <w:r>
        <w:t>The eight-agent value chain — referral to payment — with Agent 1 (intake) built and live.</w:t>
      </w:r>
    </w:p>
    <w:p>
      <w:pPr>
        <w:spacing w:after="120"/>
      </w:pPr>
      <w:r>
        <w:rPr>
          <w:b/>
          <w:color w:val="2563EB"/>
        </w:rPr>
        <w:t xml:space="preserve">Say:  </w:t>
      </w:r>
      <w:r>
        <w:rPr>
          <w:i/>
        </w:rPr>
        <w:t>“Before we go live, here’s the bigger picture. The full workers’-comp operations cycle, referral to payment, is eight modular agents. What you’re about to see is the first one — intake — built and running today. The others are on the roadmap, each one deployable on its own inside your environment. So this isn’t a science project; it’s the first agent of a chain, live.”</w:t>
      </w:r>
    </w:p>
    <w:p>
      <w:pPr>
        <w:spacing w:before="280" w:after="80"/>
      </w:pPr>
      <w:r>
        <w:rPr>
          <w:b/>
          <w:color w:val="1E3A5F"/>
          <w:sz w:val="30"/>
        </w:rPr>
        <w:t>3.  Live processing — watch it work</w:t>
      </w:r>
    </w:p>
    <w:p>
      <w:pPr>
        <w:spacing w:after="100"/>
      </w:pPr>
      <w:r>
        <w:rPr>
          <w:b/>
          <w:color w:val="1E3A5F"/>
        </w:rPr>
        <w:t xml:space="preserve">➤ Navigate:  </w:t>
      </w:r>
      <w:r>
        <w:rPr>
          <w:b/>
        </w:rPr>
        <w:t>On the Hub, click the large “Launch POC” card on the right (“Live Intake Agent POC”). On the live screen, click the green “Start Live Processing” button.</w:t>
      </w:r>
    </w:p>
    <w:p>
      <w:pPr>
        <w:spacing w:after="80"/>
      </w:pPr>
      <w:r>
        <w:rPr>
          <w:b/>
          <w:color w:val="475569"/>
        </w:rPr>
        <w:t xml:space="preserve">On screen:  </w:t>
      </w:r>
      <w:r>
        <w:t>A queue of incoming referrals processing in real time.</w:t>
      </w:r>
    </w:p>
    <w:p>
      <w:pPr>
        <w:spacing w:after="120"/>
      </w:pPr>
      <w:r>
        <w:rPr>
          <w:b/>
          <w:color w:val="2563EB"/>
        </w:rPr>
        <w:t xml:space="preserve">Say:  </w:t>
      </w:r>
      <w:r>
        <w:rPr>
          <w:i/>
        </w:rPr>
        <w:t>“These are real referral packages going through the agent right now. For each one it reads every page, extracts the fields, checks them against a rules engine, scores its own confidence, and decides: route it, or flag a gap. Watch the rows resolve — patient, equipment, priority, missing items — with no manual data entry.”</w:t>
      </w:r>
    </w:p>
    <w:p>
      <w:pPr>
        <w:spacing w:after="160"/>
        <w:ind w:left="288"/>
      </w:pPr>
      <w:r>
        <w:rPr>
          <w:b/>
          <w:color w:val="15803D"/>
        </w:rPr>
        <w:t xml:space="preserve">Key message:  </w:t>
      </w:r>
      <w:r>
        <w:t>Outreach is drafted, never blind-sent — a person still approves anything that leaves the building.</w:t>
      </w:r>
    </w:p>
    <w:p>
      <w:pPr>
        <w:spacing w:after="200"/>
      </w:pPr>
      <w:r>
        <w:t>As the queue runs, point out one referral you’ll open in detail, and say you’ll go in while the others finish.</w:t>
      </w:r>
    </w:p>
    <w:p>
      <w:pPr>
        <w:spacing w:before="280" w:after="80"/>
      </w:pPr>
      <w:r>
        <w:rPr>
          <w:b/>
          <w:color w:val="1E3A5F"/>
          <w:sz w:val="30"/>
        </w:rPr>
        <w:t>4.  Inside one referral — the “is it real?” moment</w:t>
      </w:r>
    </w:p>
    <w:p>
      <w:pPr>
        <w:spacing w:after="100"/>
      </w:pPr>
      <w:r>
        <w:rPr>
          <w:b/>
          <w:color w:val="1E3A5F"/>
        </w:rPr>
        <w:t xml:space="preserve">➤ Navigate:  </w:t>
      </w:r>
      <w:r>
        <w:rPr>
          <w:b/>
        </w:rPr>
        <w:t>As the queue runs, the James Holloway referral is highlighted — click it (or click “Open Pipeline” on his row) to open the full pipeline. Move through the steps with the “→” button at the bottom of each step (or the step tabs across the top): Step 1 through Step 7.</w:t>
      </w:r>
    </w:p>
    <w:p>
      <w:pPr>
        <w:spacing w:after="80"/>
      </w:pPr>
      <w:r>
        <w:rPr>
          <w:b/>
          <w:color w:val="475569"/>
        </w:rPr>
        <w:t xml:space="preserve">On screen:  </w:t>
      </w:r>
      <w:r>
        <w:t>The full step-by-step pipeline for a single referral.</w:t>
      </w:r>
    </w:p>
    <w:p>
      <w:pPr>
        <w:spacing w:after="160"/>
      </w:pPr>
      <w:r>
        <w:t>Walk the steps from the top.</w:t>
      </w:r>
    </w:p>
    <w:p>
      <w:pPr>
        <w:spacing w:after="120"/>
      </w:pPr>
      <w:r>
        <w:rPr>
          <w:b/>
          <w:color w:val="2563EB"/>
        </w:rPr>
        <w:t xml:space="preserve">Say:  </w:t>
      </w:r>
      <w:r>
        <w:rPr>
          <w:i/>
        </w:rPr>
        <w:t>“Three source documents. The agent pulled every field and tells you exactly where each value came from. Nothing is invented — if it isn’t in the documents, it’s a gap, not a guess.”</w:t>
      </w:r>
    </w:p>
    <w:p>
      <w:pPr>
        <w:spacing w:after="120"/>
      </w:pPr>
      <w:r>
        <w:rPr>
          <w:b/>
          <w:color w:val="2563EB"/>
        </w:rPr>
        <w:t xml:space="preserve">Say:  </w:t>
      </w:r>
      <w:r>
        <w:rPr>
          <w:i/>
        </w:rPr>
        <w:t>“Extraction alone isn’t trust. Every field is then checked against a rules engine built on published clinical and coverage rules, each one cited. This is the difference between ‘the AI said so’ and ‘the rule says so, and here’s the citation.’”</w:t>
      </w:r>
    </w:p>
    <w:p>
      <w:pPr>
        <w:spacing w:after="120"/>
      </w:pPr>
      <w:r>
        <w:rPr>
          <w:b/>
          <w:color w:val="2563EB"/>
        </w:rPr>
        <w:t xml:space="preserve">Say:  </w:t>
      </w:r>
      <w:r>
        <w:rPr>
          <w:i/>
        </w:rPr>
        <w:t>“Here’s where it gets honest. The three documents disagree on diagnosis codes. The agent resolves the ones it’s confident about — but on one of them the evidence is split, its confidence drops below the threshold, and it stops. It does not guess. It escalates to a human, with its reasoning attached.”</w:t>
      </w:r>
    </w:p>
    <w:p>
      <w:pPr>
        <w:spacing w:after="160"/>
        <w:ind w:left="288"/>
      </w:pPr>
      <w:r>
        <w:rPr>
          <w:b/>
          <w:color w:val="15803D"/>
        </w:rPr>
        <w:t xml:space="preserve">Key message:  </w:t>
      </w:r>
      <w:r>
        <w:t>The restraint is the feature. The agent knows what it doesn’t know, and escalates instead of guessing.</w:t>
      </w:r>
    </w:p>
    <w:p>
      <w:pPr>
        <w:spacing w:after="120"/>
      </w:pPr>
      <w:r>
        <w:rPr>
          <w:b/>
          <w:color w:val="2563EB"/>
        </w:rPr>
        <w:t xml:space="preserve">Say:  </w:t>
      </w:r>
      <w:r>
        <w:rPr>
          <w:i/>
        </w:rPr>
        <w:t>“It also reads the jurisdiction and applies the right turnaround clock — some states carry a tighter service-level deadline, and the agent prioritizes accordingly.”</w:t>
      </w:r>
    </w:p>
    <w:p>
      <w:pPr>
        <w:spacing w:before="280" w:after="80"/>
      </w:pPr>
      <w:r>
        <w:rPr>
          <w:b/>
          <w:color w:val="1E3A5F"/>
          <w:sz w:val="30"/>
        </w:rPr>
        <w:t>5.  Reaching out — email, then a live phone call</w:t>
      </w:r>
    </w:p>
    <w:p>
      <w:pPr>
        <w:spacing w:after="100"/>
      </w:pPr>
      <w:r>
        <w:rPr>
          <w:b/>
          <w:color w:val="1E3A5F"/>
        </w:rPr>
        <w:t xml:space="preserve">➤ Navigate:  </w:t>
      </w:r>
      <w:r>
        <w:rPr>
          <w:b/>
        </w:rPr>
        <w:t>Continue to “Step 05 — Email Outreach,” then to “Step 06 — Voice Outreach.” On Step 6 the call places itself automatically — have your phone ready and answer it on speaker.</w:t>
      </w:r>
    </w:p>
    <w:p>
      <w:pPr>
        <w:spacing w:after="80"/>
      </w:pPr>
      <w:r>
        <w:rPr>
          <w:b/>
          <w:color w:val="475569"/>
        </w:rPr>
        <w:t xml:space="preserve">On screen:  </w:t>
      </w:r>
      <w:r>
        <w:t>The outreach step, where the agent contacts the case manager for the missing items.</w:t>
      </w:r>
    </w:p>
    <w:p>
      <w:pPr>
        <w:spacing w:after="120"/>
      </w:pPr>
      <w:r>
        <w:rPr>
          <w:b/>
          <w:color w:val="2563EB"/>
        </w:rPr>
        <w:t xml:space="preserve">Say:  </w:t>
      </w:r>
      <w:r>
        <w:rPr>
          <w:i/>
        </w:rPr>
        <w:t>“For the missing items, the agent first drafts an email to the case manager, ready for a person to approve and send. When email goes unanswered, it picks up the phone.”</w:t>
      </w:r>
    </w:p>
    <w:p>
      <w:pPr>
        <w:spacing w:after="160"/>
      </w:pPr>
      <w:r>
        <w:t>At this point the agent places a live outbound call to collect the outstanding details. Put the call on speaker so the audience can hear it.</w:t>
      </w:r>
    </w:p>
    <w:p>
      <w:pPr>
        <w:spacing w:after="120"/>
      </w:pPr>
      <w:r>
        <w:rPr>
          <w:b/>
          <w:color w:val="2563EB"/>
        </w:rPr>
        <w:t xml:space="preserve">Say:  </w:t>
      </w:r>
      <w:r>
        <w:rPr>
          <w:i/>
        </w:rPr>
        <w:t>“Listen for a few things: it reads the claim number clearly, it confirms the physician’s identifier is complete, it repeats each item back to me — and then it thanks me and closes the call properly. No awkward silences, no abrupt hang-up.”</w:t>
      </w:r>
    </w:p>
    <w:p>
      <w:pPr>
        <w:spacing w:after="120"/>
      </w:pPr>
      <w:r>
        <w:rPr>
          <w:b/>
          <w:color w:val="2563EB"/>
        </w:rPr>
        <w:t xml:space="preserve">Say:  </w:t>
      </w:r>
      <w:r>
        <w:rPr>
          <w:i/>
        </w:rPr>
        <w:t>“And now — only once the call has actually gone out — the transcript appears, logged automatically against this referral.”</w:t>
      </w:r>
    </w:p>
    <w:p>
      <w:pPr>
        <w:spacing w:before="280" w:after="80"/>
      </w:pPr>
      <w:r>
        <w:rPr>
          <w:b/>
          <w:color w:val="1E3A5F"/>
          <w:sz w:val="30"/>
        </w:rPr>
        <w:t>6.  The complete record — and the audit trail</w:t>
      </w:r>
    </w:p>
    <w:p>
      <w:pPr>
        <w:spacing w:after="100"/>
      </w:pPr>
      <w:r>
        <w:rPr>
          <w:b/>
          <w:color w:val="1E3A5F"/>
        </w:rPr>
        <w:t xml:space="preserve">➤ Navigate:  </w:t>
      </w:r>
      <w:r>
        <w:rPr>
          <w:b/>
        </w:rPr>
        <w:t>Advance to “Step 07 — Route Output” to show the finished record. Then click the “Coastal DME” name at the top-left to return to the Hub, and open the “Observability Dashboard” card; drill into the episode to show its audit trail.</w:t>
      </w:r>
    </w:p>
    <w:p>
      <w:pPr>
        <w:spacing w:after="80"/>
      </w:pPr>
      <w:r>
        <w:rPr>
          <w:b/>
          <w:color w:val="475569"/>
        </w:rPr>
        <w:t xml:space="preserve">On screen:  </w:t>
      </w:r>
      <w:r>
        <w:t>The final referral record, then the audit trail for the same referral.</w:t>
      </w:r>
    </w:p>
    <w:p>
      <w:pPr>
        <w:spacing w:after="120"/>
      </w:pPr>
      <w:r>
        <w:rPr>
          <w:b/>
          <w:color w:val="2563EB"/>
        </w:rPr>
        <w:t xml:space="preserve">Say:  </w:t>
      </w:r>
      <w:r>
        <w:rPr>
          <w:i/>
        </w:rPr>
        <w:t>“Every field populated, every gap resolved — by email, by phone, or by the agent’s own correction. The moment this record locks, it’s ready to dispatch.”</w:t>
      </w:r>
    </w:p>
    <w:p>
      <w:pPr>
        <w:spacing w:after="120"/>
      </w:pPr>
      <w:r>
        <w:rPr>
          <w:b/>
          <w:color w:val="2563EB"/>
        </w:rPr>
        <w:t xml:space="preserve">Say:  </w:t>
      </w:r>
      <w:r>
        <w:rPr>
          <w:i/>
        </w:rPr>
        <w:t>“And this is the part the compliance and technology leads care about. For any referral you get the full trace: what the agent read, which rules fired and their citations, its confidence at each decision, the jurisdiction logic, and every outreach action taken.”</w:t>
      </w:r>
    </w:p>
    <w:p>
      <w:pPr>
        <w:spacing w:after="160"/>
        <w:ind w:left="288"/>
      </w:pPr>
      <w:r>
        <w:rPr>
          <w:b/>
          <w:color w:val="15803D"/>
        </w:rPr>
        <w:t xml:space="preserve">Key message:  </w:t>
      </w:r>
      <w:r>
        <w:t>Defensibility is one click, not an investigation.</w:t>
      </w:r>
    </w:p>
    <w:p>
      <w:pPr>
        <w:spacing w:before="280" w:after="80"/>
      </w:pPr>
      <w:r>
        <w:rPr>
          <w:b/>
          <w:color w:val="1E3A5F"/>
          <w:sz w:val="30"/>
        </w:rPr>
        <w:t>7.  Intake by fax — live</w:t>
      </w:r>
    </w:p>
    <w:p>
      <w:pPr>
        <w:spacing w:after="100"/>
      </w:pPr>
      <w:r>
        <w:rPr>
          <w:b/>
          <w:color w:val="1E3A5F"/>
        </w:rPr>
        <w:t xml:space="preserve">➤ Navigate:  </w:t>
      </w:r>
      <w:r>
        <w:rPr>
          <w:b/>
        </w:rPr>
        <w:t>Return to the Hub and open the “Launch POC” card again (the live agent screen). Click the “Receive New Fax” button near the top to show the live intake fax number.</w:t>
      </w:r>
    </w:p>
    <w:p>
      <w:pPr>
        <w:spacing w:after="80"/>
      </w:pPr>
      <w:r>
        <w:rPr>
          <w:b/>
          <w:color w:val="475569"/>
        </w:rPr>
        <w:t xml:space="preserve">On screen:  </w:t>
      </w:r>
      <w:r>
        <w:t>The incoming-fax panel, showing the live intake fax number.</w:t>
      </w:r>
    </w:p>
    <w:p>
      <w:pPr>
        <w:spacing w:after="120"/>
      </w:pPr>
      <w:r>
        <w:rPr>
          <w:b/>
          <w:color w:val="2563EB"/>
        </w:rPr>
        <w:t xml:space="preserve">Say:  </w:t>
      </w:r>
      <w:r>
        <w:rPr>
          <w:i/>
        </w:rPr>
        <w:t>“Intake doesn’t only come from a neat queue — a great deal of it still arrives by fax. This is our live intake line. Fax a referral package — the three documents together — to this number, and it lands in the processing queue automatically; the agent begins working on it within about thirty seconds.”</w:t>
      </w:r>
    </w:p>
    <w:p>
      <w:pPr>
        <w:spacing w:after="160"/>
      </w:pPr>
      <w:r>
        <w:t>You can demonstrate this live by faxing a package to the number on screen and watching a new row appear at the top of the queue, or use the on-screen sample to show the same flow.</w:t>
      </w:r>
    </w:p>
    <w:p>
      <w:pPr>
        <w:spacing w:before="280" w:after="80"/>
      </w:pPr>
      <w:r>
        <w:rPr>
          <w:b/>
          <w:color w:val="1E3A5F"/>
          <w:sz w:val="30"/>
        </w:rPr>
        <w:t>8.  Scale and cost — the honest version</w:t>
      </w:r>
    </w:p>
    <w:p>
      <w:pPr>
        <w:spacing w:after="100"/>
      </w:pPr>
      <w:r>
        <w:rPr>
          <w:b/>
          <w:color w:val="1E3A5F"/>
        </w:rPr>
        <w:t xml:space="preserve">➤ Navigate:  </w:t>
      </w:r>
      <w:r>
        <w:rPr>
          <w:b/>
        </w:rPr>
        <w:t>Return to the Hub and click the “Scale &amp; Cost Calculator” card.</w:t>
      </w:r>
    </w:p>
    <w:p>
      <w:pPr>
        <w:spacing w:after="80"/>
      </w:pPr>
      <w:r>
        <w:rPr>
          <w:b/>
          <w:color w:val="475569"/>
        </w:rPr>
        <w:t xml:space="preserve">On screen:  </w:t>
      </w:r>
      <w:r>
        <w:t>The scale-and-cost view, with adjustable inputs.</w:t>
      </w:r>
    </w:p>
    <w:p>
      <w:pPr>
        <w:spacing w:after="120"/>
      </w:pPr>
      <w:r>
        <w:rPr>
          <w:b/>
          <w:color w:val="2563EB"/>
        </w:rPr>
        <w:t xml:space="preserve">Say:  </w:t>
      </w:r>
      <w:r>
        <w:rPr>
          <w:i/>
        </w:rPr>
        <w:t>“The question every leader asks: does this hold up at volume, and what does it cost? Here’s the honest answer — and you can change the inputs yourself.”</w:t>
      </w:r>
    </w:p>
    <w:p>
      <w:pPr>
        <w:spacing w:after="160"/>
      </w:pPr>
      <w:r>
        <w:t>Walk the three scenarios: today’s standard configuration; a scaled, real-time configuration that processes roughly ten thousand referrals in about seven minutes; and an asynchronous batch mode at roughly half the per-referral cost for non-urgent volume.</w:t>
      </w:r>
    </w:p>
    <w:p>
      <w:pPr>
        <w:spacing w:after="160"/>
        <w:ind w:left="288"/>
      </w:pPr>
      <w:r>
        <w:rPr>
          <w:b/>
          <w:color w:val="15803D"/>
        </w:rPr>
        <w:t xml:space="preserve">Key message:  </w:t>
      </w:r>
      <w:r>
        <w:t>Cost is a few cents per referral, measured on the actual run — not estimated — and the numbers move the moment you change the inputs. We add capacity; there is no hidden cap.</w:t>
      </w:r>
    </w:p>
    <w:p>
      <w:pPr>
        <w:spacing w:before="280" w:after="80"/>
      </w:pPr>
      <w:r>
        <w:rPr>
          <w:b/>
          <w:color w:val="1E3A5F"/>
          <w:sz w:val="30"/>
        </w:rPr>
        <w:t>9.  The broader layer (optional)</w:t>
      </w:r>
    </w:p>
    <w:p>
      <w:pPr>
        <w:spacing w:after="100"/>
      </w:pPr>
      <w:r>
        <w:rPr>
          <w:b/>
          <w:color w:val="1E3A5F"/>
        </w:rPr>
        <w:t xml:space="preserve">➤ Navigate:  </w:t>
      </w:r>
      <w:r>
        <w:rPr>
          <w:b/>
        </w:rPr>
        <w:t>From the Hub, the “Live Observability Dashboard,” “Referral Analytics &amp; Insights,” and “Coached Intake Simulator” cards — open whichever the audience is most interested in.</w:t>
      </w:r>
    </w:p>
    <w:p>
      <w:pPr>
        <w:spacing w:after="80"/>
      </w:pPr>
      <w:r>
        <w:rPr>
          <w:b/>
          <w:color w:val="475569"/>
        </w:rPr>
        <w:t xml:space="preserve">On screen:  </w:t>
      </w:r>
      <w:r>
        <w:t>Live metrics, analytics, and the training module.</w:t>
      </w:r>
    </w:p>
    <w:p>
      <w:pPr>
        <w:spacing w:after="120"/>
      </w:pPr>
      <w:r>
        <w:rPr>
          <w:b/>
          <w:color w:val="2563EB"/>
        </w:rPr>
        <w:t xml:space="preserve">Say:  </w:t>
      </w:r>
      <w:r>
        <w:rPr>
          <w:i/>
        </w:rPr>
        <w:t>“The agent is one layer. Around it you get live observability, an analytics view of trends like escalation and auto-routing rates, and a path to bring your associates along — so this augments your team rather than becoming a black box.”</w:t>
      </w:r>
    </w:p>
    <w:p>
      <w:pPr>
        <w:spacing w:before="280" w:after="80"/>
      </w:pPr>
      <w:r>
        <w:rPr>
          <w:b/>
          <w:color w:val="1E3A5F"/>
          <w:sz w:val="30"/>
        </w:rPr>
        <w:t>10.  Closing</w:t>
      </w:r>
    </w:p>
    <w:p>
      <w:pPr>
        <w:spacing w:after="100"/>
      </w:pPr>
      <w:r>
        <w:rPr>
          <w:b/>
          <w:color w:val="1E3A5F"/>
        </w:rPr>
        <w:t xml:space="preserve">➤ Navigate:  </w:t>
      </w:r>
      <w:r>
        <w:rPr>
          <w:b/>
        </w:rPr>
        <w:t>Close from wherever you are — no navigation needed.</w:t>
      </w:r>
    </w:p>
    <w:p>
      <w:pPr>
        <w:spacing w:after="120"/>
      </w:pPr>
      <w:r>
        <w:rPr>
          <w:b/>
          <w:color w:val="2563EB"/>
        </w:rPr>
        <w:t xml:space="preserve">Say:  </w:t>
      </w:r>
      <w:r>
        <w:rPr>
          <w:i/>
        </w:rPr>
        <w:t>“What you’ve seen is a working proof of concept on real referral packages. It reads, it validates against cited rules, it knows its own confidence, it escalates instead of guessing, it reaches out by email and by phone, it takes in faxes live, and it logs every step for audit. The next step isn’t ‘will it work’ — you’ve just watched it. The next step is to run it on a sample of your own intake packages, with no integration and nothing sensitive shared, so we start from your data.”</w:t>
      </w:r>
    </w:p>
    <w:p>
      <w:pPr>
        <w:spacing w:before="280" w:after="80"/>
      </w:pPr>
      <w:r>
        <w:rPr>
          <w:b/>
          <w:color w:val="1E3A5F"/>
          <w:sz w:val="26"/>
        </w:rPr>
        <w:t>Quick reference — lines to land</w:t>
      </w:r>
    </w:p>
    <w:tbl>
      <w:tblPr>
        <w:tblStyle w:val="LightGrid-Accent1"/>
        <w:tblW w:type="auto" w:w="0"/>
        <w:tblLook w:firstColumn="1" w:firstRow="1" w:lastColumn="0" w:lastRow="0" w:noHBand="0" w:noVBand="1" w:val="04A0"/>
      </w:tblPr>
      <w:tblGrid>
        <w:gridCol w:w="4320"/>
        <w:gridCol w:w="4320"/>
      </w:tblGrid>
      <w:tr>
        <w:tc>
          <w:tcPr>
            <w:tcW w:type="dxa" w:w="4320"/>
          </w:tcPr>
          <w:p>
            <w:r>
              <w:rPr>
                <w:b/>
              </w:rPr>
              <w:t>Moment</w:t>
            </w:r>
          </w:p>
        </w:tc>
        <w:tc>
          <w:tcPr>
            <w:tcW w:type="dxa" w:w="4320"/>
          </w:tcPr>
          <w:p>
            <w:r>
              <w:rPr>
                <w:b/>
              </w:rPr>
              <w:t>Line to land</w:t>
            </w:r>
          </w:p>
        </w:tc>
      </w:tr>
      <w:tr>
        <w:tc>
          <w:tcPr>
            <w:tcW w:type="dxa" w:w="4320"/>
          </w:tcPr>
          <w:p>
            <w:r>
              <w:t>Why it’s credible</w:t>
            </w:r>
          </w:p>
        </w:tc>
        <w:tc>
          <w:tcPr>
            <w:tcW w:type="dxa" w:w="4320"/>
          </w:tcPr>
          <w:p>
            <w:r>
              <w:t>It shows its work at every step.</w:t>
            </w:r>
          </w:p>
        </w:tc>
      </w:tr>
      <w:tr>
        <w:tc>
          <w:tcPr>
            <w:tcW w:type="dxa" w:w="4320"/>
          </w:tcPr>
          <w:p>
            <w:r>
              <w:t>The escalation moment</w:t>
            </w:r>
          </w:p>
        </w:tc>
        <w:tc>
          <w:tcPr>
            <w:tcW w:type="dxa" w:w="4320"/>
          </w:tcPr>
          <w:p>
            <w:r>
              <w:t>The agent does not guess — that restraint is the feature.</w:t>
            </w:r>
          </w:p>
        </w:tc>
      </w:tr>
      <w:tr>
        <w:tc>
          <w:tcPr>
            <w:tcW w:type="dxa" w:w="4320"/>
          </w:tcPr>
          <w:p>
            <w:r>
              <w:t>For compliance</w:t>
            </w:r>
          </w:p>
        </w:tc>
        <w:tc>
          <w:tcPr>
            <w:tcW w:type="dxa" w:w="4320"/>
          </w:tcPr>
          <w:p>
            <w:r>
              <w:t>Defensibility is one click, not an investigation.</w:t>
            </w:r>
          </w:p>
        </w:tc>
      </w:tr>
      <w:tr>
        <w:tc>
          <w:tcPr>
            <w:tcW w:type="dxa" w:w="4320"/>
          </w:tcPr>
          <w:p>
            <w:r>
              <w:t>The phone call</w:t>
            </w:r>
          </w:p>
        </w:tc>
        <w:tc>
          <w:tcPr>
            <w:tcW w:type="dxa" w:w="4320"/>
          </w:tcPr>
          <w:p>
            <w:r>
              <w:t>It reads clearly, confirms each item, thanks the caller, and closes — no dead air.</w:t>
            </w:r>
          </w:p>
        </w:tc>
      </w:tr>
      <w:tr>
        <w:tc>
          <w:tcPr>
            <w:tcW w:type="dxa" w:w="4320"/>
          </w:tcPr>
          <w:p>
            <w:r>
              <w:t>On cost</w:t>
            </w:r>
          </w:p>
        </w:tc>
        <w:tc>
          <w:tcPr>
            <w:tcW w:type="dxa" w:w="4320"/>
          </w:tcPr>
          <w:p>
            <w:r>
              <w:t>A few cents per referral, measured — and the numbers move when you move the inputs.</w:t>
            </w:r>
          </w:p>
        </w:tc>
      </w:tr>
      <w:tr>
        <w:tc>
          <w:tcPr>
            <w:tcW w:type="dxa" w:w="4320"/>
          </w:tcPr>
          <w:p>
            <w:r>
              <w:t>On scale</w:t>
            </w:r>
          </w:p>
        </w:tc>
        <w:tc>
          <w:tcPr>
            <w:tcW w:type="dxa" w:w="4320"/>
          </w:tcPr>
          <w:p>
            <w:r>
              <w:t>We add capacity, not magic.</w:t>
            </w:r>
          </w:p>
        </w:tc>
      </w:tr>
      <w:tr>
        <w:tc>
          <w:tcPr>
            <w:tcW w:type="dxa" w:w="4320"/>
          </w:tcPr>
          <w:p>
            <w:r>
              <w:t>The close</w:t>
            </w:r>
          </w:p>
        </w:tc>
        <w:tc>
          <w:tcPr>
            <w:tcW w:type="dxa" w:w="4320"/>
          </w:tcPr>
          <w:p>
            <w:r>
              <w:t>The question isn’t ‘will it work.’ You just watched it.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