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1C1C"/>
          <w:sz w:val="17"/>
        </w:rPr>
        <w:t>RFP RESPONSE  ·  CONFIDENTIAL</w:t>
      </w:r>
      <w:r>
        <w:rPr>
          <w:color w:val="64748B"/>
          <w:sz w:val="17"/>
        </w:rPr>
        <w:t xml:space="preserve">        Prepared by: [ Company Name ]</w:t>
      </w:r>
    </w:p>
    <w:p>
      <w:r>
        <w:rPr>
          <w:b/>
          <w:color w:val="1E3A5F"/>
          <w:sz w:val="40"/>
        </w:rPr>
        <w:t>Governance of Agentic AI Systems</w:t>
      </w:r>
    </w:p>
    <w:p>
      <w:r>
        <w:rPr>
          <w:i/>
          <w:color w:val="64748B"/>
          <w:sz w:val="22"/>
        </w:rPr>
        <w:t>How we design, implement, and operate autonomous agents that are safe, secure, and within organizational, ethical, and regulatory boundaries — while delivering value.</w:t>
      </w:r>
    </w:p>
    <w:p>
      <w:r>
        <w:rPr>
          <w:b/>
          <w:color w:val="1E3A5F"/>
          <w:sz w:val="18"/>
        </w:rPr>
        <w:t>Aligned to:  NIST AI RMF  ·  ISO/IEC 42001  ·  HIPAA  ·  HITRUST  ·  SOC 2 Type II  ·  EU AI Act (risk-tiering)</w:t>
      </w:r>
    </w:p>
    <w:p/>
    <w:p>
      <w:r>
        <w:t xml:space="preserve">For autonomous agents operating in an enterprise healthcare environment, governance cannot be a policy document that sits </w:t>
      </w:r>
      <w:r>
        <w:rPr>
          <w:i/>
        </w:rPr>
        <w:t>beside</w:t>
      </w:r>
      <w:r>
        <w:t xml:space="preserve"> the system — it must be the operating fabric the system runs </w:t>
      </w:r>
      <w:r>
        <w:rPr>
          <w:i/>
        </w:rPr>
        <w:t>on</w:t>
      </w:r>
      <w:r>
        <w:t xml:space="preserve">. Our governing principle is </w:t>
      </w:r>
      <w:r>
        <w:rPr>
          <w:b/>
        </w:rPr>
        <w:t>bounded autonomy</w:t>
      </w:r>
      <w:r>
        <w:t xml:space="preserve">: an agent may act independently only within boundaries that are explicitly defined, </w:t>
      </w:r>
      <w:r>
        <w:rPr>
          <w:b/>
        </w:rPr>
        <w:t>technically enforced at runtime</w:t>
      </w:r>
      <w:r>
        <w:t xml:space="preserve">, continuously monitored, and fully auditable — and a </w:t>
      </w:r>
      <w:r>
        <w:rPr>
          <w:b/>
        </w:rPr>
        <w:t>named, accountable human owns every decision that carries clinical, financial, or regulatory consequence</w:t>
      </w:r>
      <w:r>
        <w:t xml:space="preserve">. Our framework is built to, and independently assessed against, recognized standards — NIST AI RMF, ISO/IEC 42001, HIPAA, HITRUST, and SOC 2 Type II — and risk-tiers agent use cases consistent with the EU AI Act. The objective is not to constrain AI in order to manage risk; it is to make the </w:t>
      </w:r>
      <w:r>
        <w:rPr>
          <w:i/>
        </w:rPr>
        <w:t>expansion</w:t>
      </w:r>
      <w:r>
        <w:t xml:space="preserve"> of autonomy a controlled, evidence-based decision.</w:t>
      </w:r>
    </w:p>
    <w:p>
      <w:r>
        <w:rPr>
          <w:b/>
          <w:color w:val="1E3A5F"/>
          <w:sz w:val="24"/>
        </w:rPr>
        <w:t>1 · Governance operating model &amp; accountability</w:t>
      </w:r>
    </w:p>
    <w:p>
      <w:r>
        <w:t xml:space="preserve">An </w:t>
      </w:r>
      <w:r>
        <w:rPr>
          <w:b/>
        </w:rPr>
        <w:t>AI Governance Council</w:t>
      </w:r>
      <w:r>
        <w:t xml:space="preserve"> — spanning clinical, privacy/compliance, security, legal, data, and business ownership — sets policy and risk appetite and authorizes every production deployment, operating on a three-lines-of-defense model. Each agent is entered in a central </w:t>
      </w:r>
      <w:r>
        <w:rPr>
          <w:b/>
        </w:rPr>
        <w:t>agent registry</w:t>
      </w:r>
      <w:r>
        <w:t xml:space="preserve"> capturing its purpose, scope, owner, risk tier, data access, dependencies, and approval history. Every agent carries a clear </w:t>
      </w:r>
      <w:r>
        <w:rPr>
          <w:b/>
        </w:rPr>
        <w:t>RACI</w:t>
      </w:r>
      <w:r>
        <w:t xml:space="preserve"> (business owner, agent-performance manager, security, compliance) and progresses through </w:t>
      </w:r>
      <w:r>
        <w:rPr>
          <w:b/>
        </w:rPr>
        <w:t>stage-gate approvals</w:t>
      </w:r>
      <w:r>
        <w:t xml:space="preserve"> before it touches production traffic.</w:t>
      </w:r>
    </w:p>
    <w:p>
      <w:r>
        <w:rPr>
          <w:b/>
          <w:color w:val="1E3A5F"/>
          <w:sz w:val="24"/>
        </w:rPr>
        <w:t>2 · Bounded autonomy — defining and constraining behavior</w:t>
      </w:r>
    </w:p>
    <w:p>
      <w:r>
        <w:t xml:space="preserve">Each agent is granted an explicit, </w:t>
      </w:r>
      <w:r>
        <w:rPr>
          <w:b/>
        </w:rPr>
        <w:t>least-privilege operating scope</w:t>
      </w:r>
      <w:r>
        <w:t xml:space="preserve">: the actions it may take, the systems it may reach, the data it may see, and the thresholds at which it must hand off. These constraints are enforced as </w:t>
      </w:r>
      <w:r>
        <w:rPr>
          <w:b/>
        </w:rPr>
        <w:t>policy-as-code guardrails at runtime</w:t>
      </w:r>
      <w:r>
        <w:t xml:space="preserve"> — action allow-lists, input/output filtering, rate and spend limits — not merely described in a prompt. </w:t>
      </w:r>
      <w:r>
        <w:rPr>
          <w:b/>
        </w:rPr>
        <w:t>Consequential actions require human approval gates</w:t>
      </w:r>
      <w:r>
        <w:t xml:space="preserve">, and autonomy is </w:t>
      </w:r>
      <w:r>
        <w:rPr>
          <w:b/>
        </w:rPr>
        <w:t>tiered by risk</w:t>
      </w:r>
      <w:r>
        <w:t xml:space="preserve">: low-risk, reversible actions run unattended, while high-impact or irreversible actions are gated to a human. Agents act under </w:t>
      </w:r>
      <w:r>
        <w:rPr>
          <w:b/>
        </w:rPr>
        <w:t>scoped, revocable non-human identities</w:t>
      </w:r>
      <w:r>
        <w:t xml:space="preserve"> — never shared human credentials.</w:t>
      </w:r>
    </w:p>
    <w:p>
      <w:r>
        <w:rPr>
          <w:b/>
          <w:color w:val="1E3A5F"/>
          <w:sz w:val="24"/>
        </w:rPr>
        <w:t>3 · Safety &amp; reliability</w:t>
      </w:r>
    </w:p>
    <w:p>
      <w:r>
        <w:t xml:space="preserve">Agents are engineered to </w:t>
      </w:r>
      <w:r>
        <w:rPr>
          <w:b/>
        </w:rPr>
        <w:t>fail safe</w:t>
      </w:r>
      <w:r>
        <w:t xml:space="preserve">. Layered controls combine </w:t>
      </w:r>
      <w:r>
        <w:rPr>
          <w:b/>
        </w:rPr>
        <w:t>uncertainty/confidence gating</w:t>
      </w:r>
      <w:r>
        <w:t xml:space="preserve"> (the agent escalates rather than guesses), grounding and validation against authoritative sources, and deterministic checks for anything that must be exact. Before production, every agent is validated through </w:t>
      </w:r>
      <w:r>
        <w:rPr>
          <w:b/>
        </w:rPr>
        <w:t>scenario-based evaluations and adversarial red-teaming</w:t>
      </w:r>
      <w:r>
        <w:t xml:space="preserve"> — including prompt-injection and tool-misuse testing. At runtime, </w:t>
      </w:r>
      <w:r>
        <w:rPr>
          <w:b/>
        </w:rPr>
        <w:t>circuit breakers, rate limits, and an instant kill-switch</w:t>
      </w:r>
      <w:r>
        <w:t xml:space="preserve"> allow an agent to be suspended immediately. The default behavior under ambiguity is always to stop and route to a qualified human.</w:t>
      </w:r>
    </w:p>
    <w:p>
      <w:r>
        <w:rPr>
          <w:b/>
          <w:color w:val="1E3A5F"/>
          <w:sz w:val="24"/>
        </w:rPr>
        <w:t>4 · Security &amp; data protection</w:t>
      </w:r>
    </w:p>
    <w:p>
      <w:r>
        <w:t xml:space="preserve">Agents deploy </w:t>
      </w:r>
      <w:r>
        <w:rPr>
          <w:b/>
        </w:rPr>
        <w:t>within the client's security perimeter and data-residency posture</w:t>
      </w:r>
      <w:r>
        <w:t xml:space="preserve">; PHI is handled under existing HIPAA controls, BAAs, encryption in transit and at rest, and least-privilege access — adding </w:t>
      </w:r>
      <w:r>
        <w:rPr>
          <w:b/>
        </w:rPr>
        <w:t>no new uncontrolled data egress</w:t>
      </w:r>
      <w:r>
        <w:t xml:space="preserve">. Our threat model explicitly addresses </w:t>
      </w:r>
      <w:r>
        <w:rPr>
          <w:b/>
        </w:rPr>
        <w:t>agent-specific risks</w:t>
      </w:r>
      <w:r>
        <w:t xml:space="preserve"> — prompt injection, data exfiltration through tools, and excessive agency — and aligns to HITRUST and SOC 2. Secrets and credentials are vaulted; every agent action is scoped, logged, and revocable.</w:t>
      </w:r>
    </w:p>
    <w:p>
      <w:r>
        <w:rPr>
          <w:b/>
          <w:color w:val="1E3A5F"/>
          <w:sz w:val="24"/>
        </w:rPr>
        <w:t>5 · Regulatory, ethical &amp; responsible AI</w:t>
      </w:r>
    </w:p>
    <w:p>
      <w:r>
        <w:t xml:space="preserve">Use cases are </w:t>
      </w:r>
      <w:r>
        <w:rPr>
          <w:b/>
        </w:rPr>
        <w:t>risk-classified</w:t>
      </w:r>
      <w:r>
        <w:t xml:space="preserve">, and controls scale with risk. We operationalize responsible-AI principles rather than asserting them: </w:t>
      </w:r>
      <w:r>
        <w:rPr>
          <w:b/>
        </w:rPr>
        <w:t>transparency and explainability</w:t>
      </w:r>
      <w:r>
        <w:t xml:space="preserve"> (every decision and action is logged with its rationale and the rule or source that drove it), </w:t>
      </w:r>
      <w:r>
        <w:rPr>
          <w:b/>
        </w:rPr>
        <w:t>fairness and bias monitoring</w:t>
      </w:r>
      <w:r>
        <w:t xml:space="preserve"> across populations, </w:t>
      </w:r>
      <w:r>
        <w:rPr>
          <w:b/>
        </w:rPr>
        <w:t>human oversight and dignity</w:t>
      </w:r>
      <w:r>
        <w:t xml:space="preserve"> (clinical and other consequential judgments remain human-owned), and </w:t>
      </w:r>
      <w:r>
        <w:rPr>
          <w:b/>
        </w:rPr>
        <w:t>data minimization and purpose limitation</w:t>
      </w:r>
      <w:r>
        <w:t>. Clinical-safety and privacy reviews are built into the deployment gate, and we maintain alignment with HIPAA, applicable state and federal requirements, FDA SaMD considerations where relevant, and emerging AI regulation.</w:t>
      </w:r>
    </w:p>
    <w:p>
      <w:r>
        <w:rPr>
          <w:b/>
          <w:color w:val="1E3A5F"/>
          <w:sz w:val="24"/>
        </w:rPr>
        <w:t>6 · Observability, assurance &amp; lifecycle</w:t>
      </w:r>
    </w:p>
    <w:p>
      <w:r>
        <w:t xml:space="preserve">We maintain </w:t>
      </w:r>
      <w:r>
        <w:rPr>
          <w:b/>
        </w:rPr>
        <w:t>continuous telemetry</w:t>
      </w:r>
      <w:r>
        <w:t xml:space="preserve"> on every agent — accuracy, exception/override rate, latency, cost, and behavioral drift — backed by an </w:t>
      </w:r>
      <w:r>
        <w:rPr>
          <w:b/>
        </w:rPr>
        <w:t>immutable, timestamped, end-to-end audit trail</w:t>
      </w:r>
      <w:r>
        <w:t xml:space="preserve"> of agent reasoning and actions, available to compliance on demand as a complete record rather than a sample. </w:t>
      </w:r>
      <w:r>
        <w:rPr>
          <w:b/>
        </w:rPr>
        <w:t>Change control is absolute</w:t>
      </w:r>
      <w:r>
        <w:t xml:space="preserve">: every change to a policy, rule, prompt, model, or tool is versioned, regression-tested, approved, and logged — nothing reaches production without sign-off. Incident management, periodic re-certification, retraining governance, and clean decommissioning close the lifecycle. A </w:t>
      </w:r>
      <w:r>
        <w:rPr>
          <w:b/>
        </w:rPr>
        <w:t>rising override rate is treated as a governance signal</w:t>
      </w:r>
      <w:r>
        <w:t xml:space="preserve"> that automatically triggers review.</w:t>
      </w:r>
    </w:p>
    <w:p/>
    <w:p>
      <w:r>
        <w:rPr>
          <w:b/>
          <w:color w:val="1E3A5F"/>
          <w:sz w:val="24"/>
        </w:rPr>
        <w:t>Governance as an enabler of value — not a brake</w:t>
      </w:r>
    </w:p>
    <w:p>
      <w:r>
        <w:t xml:space="preserve">Designed this way, governance is what </w:t>
      </w:r>
      <w:r>
        <w:rPr>
          <w:i/>
        </w:rPr>
        <w:t>allows</w:t>
      </w:r>
      <w:r>
        <w:t xml:space="preserve"> us to move fast and broaden autonomy responsibly. Because boundaries are explicit and enforced, because every action is observable and reversible, and because autonomy is tiered to evidence, we can </w:t>
      </w:r>
      <w:r>
        <w:rPr>
          <w:b/>
        </w:rPr>
        <w:t>safely widen what an agent does as it earns trust</w:t>
      </w:r>
      <w:r>
        <w:t xml:space="preserve"> — capturing more value over time without re-opening the risk question at every step. The same controls that keep our agents safe, secure, and compliant are precisely what make it responsible to let them do more.</w:t>
      </w:r>
    </w:p>
    <w:p/>
    <w:p>
      <w:r>
        <w:rPr>
          <w:i/>
          <w:color w:val="64748B"/>
          <w:sz w:val="17"/>
        </w:rPr>
        <w:t>© [ Company Name ] — Confidential · Prepared in response to RFP.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