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5F"/>
          <w:sz w:val="36"/>
        </w:rPr>
        <w:t>Coastal DME — Workers' Compensation Intake Standard Operating Procedures</w:t>
      </w:r>
    </w:p>
    <w:p>
      <w:r>
        <w:rPr>
          <w:i/>
          <w:color w:val="555555"/>
          <w:sz w:val="20"/>
        </w:rPr>
        <w:t>Version 2.3 · Owner: Operations Lead · Change control: review &amp; approve</w:t>
      </w:r>
    </w:p>
    <w:p>
      <w:pPr>
        <w:spacing w:before="200"/>
      </w:pPr>
      <w:r>
        <w:rPr>
          <w:b/>
          <w:color w:val="1E3A5F"/>
          <w:sz w:val="26"/>
        </w:rPr>
        <w:t>1. Scope</w:t>
      </w:r>
    </w:p>
    <w:p>
      <w:pPr>
        <w:spacing w:after="100"/>
      </w:pPr>
      <w:r>
        <w:t>These procedures govern intake of durable medical equipment (DME) referrals for injured workers under workers' compensation. They are the authoritative source for how a referral is validated, completed, and routed.</w:t>
      </w:r>
    </w:p>
    <w:p>
      <w:pPr>
        <w:spacing w:before="200"/>
      </w:pPr>
      <w:r>
        <w:rPr>
          <w:b/>
          <w:color w:val="1E3A5F"/>
          <w:sz w:val="26"/>
        </w:rPr>
        <w:t>2. Authorization</w:t>
      </w:r>
    </w:p>
    <w:p>
      <w:pPr>
        <w:spacing w:after="100"/>
      </w:pPr>
      <w:r>
        <w:t xml:space="preserve">2.1 No DME referral may be scheduled or dispatched without an </w:t>
      </w:r>
      <w:r>
        <w:rPr>
          <w:b/>
        </w:rPr>
        <w:t>active authorization reference</w:t>
      </w:r>
      <w:r>
        <w:t xml:space="preserve"> on file from the claim's carrier/adjuster. If the authorization reference is missing, request it from the adjuster and </w:t>
      </w:r>
      <w:r>
        <w:rPr>
          <w:b/>
        </w:rPr>
        <w:t>hold the episode</w:t>
      </w:r>
      <w:r>
        <w:t xml:space="preserve"> until it is received.</w:t>
      </w:r>
    </w:p>
    <w:p>
      <w:pPr>
        <w:spacing w:before="200"/>
      </w:pPr>
      <w:r>
        <w:rPr>
          <w:b/>
          <w:color w:val="1E3A5F"/>
          <w:sz w:val="26"/>
        </w:rPr>
        <w:t>3. Diagnosis Coding</w:t>
      </w:r>
    </w:p>
    <w:p>
      <w:pPr>
        <w:spacing w:after="100"/>
      </w:pPr>
      <w:r>
        <w:t xml:space="preserve">3.4 When the referral form, clinical notes, and prescription </w:t>
      </w:r>
      <w:r>
        <w:rPr>
          <w:b/>
        </w:rPr>
        <w:t>disagree on the ICD-10 diagnosis code</w:t>
      </w:r>
      <w:r>
        <w:t xml:space="preserve">, the treating physician's </w:t>
      </w:r>
      <w:r>
        <w:rPr>
          <w:b/>
        </w:rPr>
        <w:t>clinical notes (corroborated by the prescription) are authoritative</w:t>
      </w:r>
      <w:r>
        <w:t>. Adopt the clinical code and document the override.</w:t>
      </w:r>
    </w:p>
    <w:p>
      <w:pPr>
        <w:spacing w:after="100"/>
      </w:pPr>
      <w:r>
        <w:t xml:space="preserve">3.7 For DME following a </w:t>
      </w:r>
      <w:r>
        <w:rPr>
          <w:b/>
        </w:rPr>
        <w:t>traumatic injury and surgery</w:t>
      </w:r>
      <w:r>
        <w:t xml:space="preserve">, code the </w:t>
      </w:r>
      <w:r>
        <w:rPr>
          <w:b/>
        </w:rPr>
        <w:t>acute injury encounter (S-codes)</w:t>
      </w:r>
      <w:r>
        <w:t>, not the degenerative-condition code (M-codes).</w:t>
      </w:r>
    </w:p>
    <w:p>
      <w:pPr>
        <w:spacing w:before="200"/>
      </w:pPr>
      <w:r>
        <w:rPr>
          <w:b/>
          <w:color w:val="1E3A5F"/>
          <w:sz w:val="26"/>
        </w:rPr>
        <w:t>4. Coverage &amp; Equipment</w:t>
      </w:r>
    </w:p>
    <w:p>
      <w:pPr>
        <w:spacing w:after="100"/>
      </w:pPr>
      <w:r>
        <w:t xml:space="preserve">4.2 A mobility device may only be routed when a </w:t>
      </w:r>
      <w:r>
        <w:rPr>
          <w:b/>
        </w:rPr>
        <w:t>qualifying mobility-limiting diagnosis</w:t>
      </w:r>
      <w:r>
        <w:t xml:space="preserve"> is on file per the applicable CMS Local Coverage Determination.</w:t>
      </w:r>
    </w:p>
    <w:p>
      <w:pPr>
        <w:spacing w:after="100"/>
      </w:pPr>
      <w:r>
        <w:t xml:space="preserve">4.5 </w:t>
      </w:r>
      <w:r>
        <w:rPr>
          <w:b/>
        </w:rPr>
        <w:t>Confirm patient weight before dispatch.</w:t>
      </w:r>
      <w:r>
        <w:t xml:space="preserve"> Patients over 300 lbs require a </w:t>
      </w:r>
      <w:r>
        <w:rPr>
          <w:b/>
        </w:rPr>
        <w:t>bariatric unit</w:t>
      </w:r>
      <w:r>
        <w:t>; never dispatch a standard unit where a bariatric specification applies.</w:t>
      </w:r>
    </w:p>
    <w:p>
      <w:pPr>
        <w:spacing w:before="200"/>
      </w:pPr>
      <w:r>
        <w:rPr>
          <w:b/>
          <w:color w:val="1E3A5F"/>
          <w:sz w:val="26"/>
        </w:rPr>
        <w:t>5. Jurisdiction &amp; Turnaround</w:t>
      </w:r>
    </w:p>
    <w:p>
      <w:pPr>
        <w:spacing w:after="100"/>
      </w:pPr>
      <w:r>
        <w:t xml:space="preserve">5.2 Apply the </w:t>
      </w:r>
      <w:r>
        <w:rPr>
          <w:b/>
        </w:rPr>
        <w:t>state turnaround clock</w:t>
      </w:r>
      <w:r>
        <w:t xml:space="preserve"> to every referral. </w:t>
      </w:r>
      <w:r>
        <w:rPr>
          <w:b/>
        </w:rPr>
        <w:t>Texas referrals must be actioned within 2 business days</w:t>
      </w:r>
      <w:r>
        <w:t xml:space="preserve">; other states per their fee-schedule SLA. Prioritize and </w:t>
      </w:r>
      <w:r>
        <w:rPr>
          <w:b/>
        </w:rPr>
        <w:t>escalate any episode at risk of breaching</w:t>
      </w:r>
      <w:r>
        <w:t xml:space="preserve"> its SLA.</w:t>
      </w:r>
    </w:p>
    <w:p>
      <w:pPr>
        <w:spacing w:before="200"/>
      </w:pPr>
      <w:r>
        <w:rPr>
          <w:b/>
          <w:color w:val="1E3A5F"/>
          <w:sz w:val="26"/>
        </w:rPr>
        <w:t>6. Autonomy &amp; Confidence</w:t>
      </w:r>
    </w:p>
    <w:p>
      <w:pPr>
        <w:spacing w:after="100"/>
      </w:pPr>
      <w:r>
        <w:t xml:space="preserve">6.1 </w:t>
      </w:r>
      <w:r>
        <w:rPr>
          <w:b/>
        </w:rPr>
        <w:t>Auto-route</w:t>
      </w:r>
      <w:r>
        <w:t xml:space="preserve"> an episode only when extraction confidence is </w:t>
      </w:r>
      <w:r>
        <w:rPr>
          <w:b/>
        </w:rPr>
        <w:t>90% or higher</w:t>
      </w:r>
      <w:r>
        <w:t xml:space="preserve">. </w:t>
      </w:r>
      <w:r>
        <w:rPr>
          <w:b/>
        </w:rPr>
        <w:t>Spot-check</w:t>
      </w:r>
      <w:r>
        <w:t xml:space="preserve"> episodes at 80–90%. </w:t>
      </w:r>
      <w:r>
        <w:rPr>
          <w:b/>
        </w:rPr>
        <w:t>Escalate any episode below 80%</w:t>
      </w:r>
      <w:r>
        <w:t xml:space="preserve"> to a specialist.</w:t>
      </w:r>
    </w:p>
    <w:p>
      <w:pPr>
        <w:spacing w:before="200"/>
      </w:pPr>
      <w:r>
        <w:rPr>
          <w:b/>
          <w:color w:val="1E3A5F"/>
          <w:sz w:val="26"/>
        </w:rPr>
        <w:t>7. Language &amp; Accommodation</w:t>
      </w:r>
    </w:p>
    <w:p>
      <w:pPr>
        <w:spacing w:after="100"/>
      </w:pPr>
      <w:r>
        <w:t xml:space="preserve">7.1 Capture the injured worker's </w:t>
      </w:r>
      <w:r>
        <w:rPr>
          <w:b/>
        </w:rPr>
        <w:t>primary language and interpreter need</w:t>
      </w:r>
      <w:r>
        <w:t xml:space="preserve"> on every intake; </w:t>
      </w:r>
      <w:r>
        <w:rPr>
          <w:b/>
        </w:rPr>
        <w:t>coordinate an interpreter</w:t>
      </w:r>
      <w:r>
        <w:t xml:space="preserve"> for any non-English speaker before the appointment.</w:t>
      </w:r>
    </w:p>
    <w:p>
      <w:pPr>
        <w:spacing w:before="200"/>
      </w:pPr>
      <w:r>
        <w:rPr>
          <w:b/>
          <w:color w:val="1E3A5F"/>
          <w:sz w:val="26"/>
        </w:rPr>
        <w:t>8. Escalation</w:t>
      </w:r>
    </w:p>
    <w:p>
      <w:pPr>
        <w:spacing w:after="100"/>
      </w:pPr>
      <w:r>
        <w:t xml:space="preserve">8.0 </w:t>
      </w:r>
      <w:r>
        <w:rPr>
          <w:b/>
        </w:rPr>
        <w:t>Clinical and coding judgment is never fully automated.</w:t>
      </w:r>
      <w:r>
        <w:t xml:space="preserve"> Any ambiguous diagnosis, split evidence, or laterality conflict must be </w:t>
      </w:r>
      <w:r>
        <w:rPr>
          <w:b/>
        </w:rPr>
        <w:t>routed to a specialist</w:t>
      </w:r>
      <w:r>
        <w:t xml:space="preserve"> with full documentation. The coordinator — or the agent — </w:t>
      </w:r>
      <w:r>
        <w:rPr>
          <w:b/>
        </w:rPr>
        <w:t>does not guess.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