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6"/>
        </w:rPr>
        <w:t>Live Intake and Referral Agent</w:t>
      </w:r>
    </w:p>
    <w:p>
      <w:r>
        <w:rPr>
          <w:i/>
          <w:color w:val="475569"/>
          <w:sz w:val="24"/>
        </w:rPr>
        <w:t>A self-guided walkthrough — explore the working agent yourself in ~15 minutes.</w:t>
      </w:r>
    </w:p>
    <w:p>
      <w:r>
        <w:rPr>
          <w:color w:val="CBD5E1"/>
        </w:rPr>
        <w:t>——————————————————————————————</w:t>
      </w:r>
    </w:p>
    <w:p>
      <w:pPr>
        <w:spacing w:before="280" w:after="80"/>
      </w:pPr>
      <w:r>
        <w:rPr>
          <w:b/>
          <w:color w:val="1E3A5F"/>
          <w:sz w:val="26"/>
        </w:rPr>
        <w:t>Getting in</w:t>
      </w:r>
    </w:p>
    <w:p>
      <w:pPr>
        <w:spacing w:after="80"/>
      </w:pPr>
      <w:r>
        <w:rPr>
          <w:b/>
        </w:rPr>
        <w:t xml:space="preserve">Link:  </w:t>
      </w:r>
      <w:r>
        <w:rPr>
          <w:color w:val="2563EB"/>
        </w:rPr>
        <w:t>https://web-production-efe30.up.railway.app</w:t>
      </w:r>
    </w:p>
    <w:p>
      <w:pPr>
        <w:spacing w:after="160"/>
      </w:pPr>
      <w:r>
        <w:rPr>
          <w:b/>
        </w:rPr>
        <w:t xml:space="preserve">Password:  </w:t>
      </w:r>
      <w:r>
        <w:t>coastal2026</w:t>
      </w:r>
    </w:p>
    <w:p>
      <w:pPr>
        <w:spacing w:after="160"/>
      </w:pPr>
      <w:r>
        <w:t>Open the link, enter the password, and click “Enter.” You’ll land on the Hub. This is a live working agent on real referral packages — not slides. Take it at your own pace; nothing you click can break it.</w:t>
      </w:r>
    </w:p>
    <w:p>
      <w:pPr>
        <w:spacing w:after="160"/>
      </w:pPr>
      <w:r>
        <w:t>The agent runs on your SOPs automatically — they load on every run, so you can go straight to the “Live Intake and Referral Agent” card and Start. Want to see where the rules come from? Open “Your SOPs → The Agent’s Rules” and click “Ingest SOP → generate rules” to watch the agent read the SOP and produce the rules live — optional; the agent already uses them.</w:t>
      </w:r>
    </w:p>
    <w:p>
      <w:pPr>
        <w:spacing w:before="280" w:after="80"/>
      </w:pPr>
      <w:r>
        <w:rPr>
          <w:b/>
          <w:color w:val="1E3A5F"/>
          <w:sz w:val="26"/>
        </w:rPr>
        <w:t>Where to click — at a glance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Stop</w:t>
            </w:r>
          </w:p>
        </w:tc>
        <w:tc>
          <w:tcPr>
            <w:tcW w:type="dxa" w:w="4320"/>
          </w:tcPr>
          <w:p>
            <w:r>
              <w:rPr>
                <w:b/>
              </w:rPr>
              <w:t>Where to click</w:t>
            </w:r>
          </w:p>
        </w:tc>
      </w:tr>
      <w:tr>
        <w:tc>
          <w:tcPr>
            <w:tcW w:type="dxa" w:w="4320"/>
          </w:tcPr>
          <w:p>
            <w:r>
              <w:t>1</w:t>
            </w:r>
          </w:p>
        </w:tc>
        <w:tc>
          <w:tcPr>
            <w:tcW w:type="dxa" w:w="4320"/>
          </w:tcPr>
          <w:p>
            <w:r>
              <w:t>Hub → read the cards (orientation)</w:t>
            </w:r>
          </w:p>
        </w:tc>
      </w:tr>
      <w:tr>
        <w:tc>
          <w:tcPr>
            <w:tcW w:type="dxa" w:w="4320"/>
          </w:tcPr>
          <w:p>
            <w:r>
              <w:t>2</w:t>
            </w:r>
          </w:p>
        </w:tc>
        <w:tc>
          <w:tcPr>
            <w:tcW w:type="dxa" w:w="4320"/>
          </w:tcPr>
          <w:p>
            <w:r>
              <w:t>Click the big “Live Intake and Referral Agent” card → “Start Live Processing”</w:t>
            </w:r>
          </w:p>
        </w:tc>
      </w:tr>
      <w:tr>
        <w:tc>
          <w:tcPr>
            <w:tcW w:type="dxa" w:w="4320"/>
          </w:tcPr>
          <w:p>
            <w:r>
              <w:t>3</w:t>
            </w:r>
          </w:p>
        </w:tc>
        <w:tc>
          <w:tcPr>
            <w:tcW w:type="dxa" w:w="4320"/>
          </w:tcPr>
          <w:p>
            <w:r>
              <w:t>Click the highlighted “James Holloway” row → step through with the “→” buttons</w:t>
            </w:r>
          </w:p>
        </w:tc>
      </w:tr>
      <w:tr>
        <w:tc>
          <w:tcPr>
            <w:tcW w:type="dxa" w:w="4320"/>
          </w:tcPr>
          <w:p>
            <w:r>
              <w:t>4</w:t>
            </w:r>
          </w:p>
        </w:tc>
        <w:tc>
          <w:tcPr>
            <w:tcW w:type="dxa" w:w="4320"/>
          </w:tcPr>
          <w:p>
            <w:r>
              <w:t>Back to Hub → “Your SOPs → The Agent’s Rules” → click “Ingest SOP → generate rules”</w:t>
            </w:r>
          </w:p>
        </w:tc>
      </w:tr>
      <w:tr>
        <w:tc>
          <w:tcPr>
            <w:tcW w:type="dxa" w:w="4320"/>
          </w:tcPr>
          <w:p>
            <w:r>
              <w:t>5</w:t>
            </w:r>
          </w:p>
        </w:tc>
        <w:tc>
          <w:tcPr>
            <w:tcW w:type="dxa" w:w="4320"/>
          </w:tcPr>
          <w:p>
            <w:r>
              <w:t>Hub → “Live Observability Dashboard”</w:t>
            </w:r>
          </w:p>
        </w:tc>
      </w:tr>
      <w:tr>
        <w:tc>
          <w:tcPr>
            <w:tcW w:type="dxa" w:w="4320"/>
          </w:tcPr>
          <w:p>
            <w:r>
              <w:t>6</w:t>
            </w:r>
          </w:p>
        </w:tc>
        <w:tc>
          <w:tcPr>
            <w:tcW w:type="dxa" w:w="4320"/>
          </w:tcPr>
          <w:p>
            <w:r>
              <w:t>Hub → “Referral Analytics”, then “Scale &amp; Cost Calculator”</w:t>
            </w:r>
          </w:p>
        </w:tc>
      </w:tr>
      <w:tr>
        <w:tc>
          <w:tcPr>
            <w:tcW w:type="dxa" w:w="4320"/>
          </w:tcPr>
          <w:p>
            <w:r>
              <w:t>7</w:t>
            </w:r>
          </w:p>
        </w:tc>
        <w:tc>
          <w:tcPr>
            <w:tcW w:type="dxa" w:w="4320"/>
          </w:tcPr>
          <w:p>
            <w:r>
              <w:t>Hub → “8-Agent Value Chain” (the bigger picture)</w:t>
            </w:r>
          </w:p>
        </w:tc>
      </w:tr>
    </w:tbl>
    <w:p>
      <w:pPr>
        <w:spacing w:before="280" w:after="80"/>
      </w:pPr>
      <w:r>
        <w:rPr>
          <w:b/>
          <w:color w:val="1E3A5F"/>
          <w:sz w:val="30"/>
        </w:rPr>
        <w:t>1.  The Hub — orientation</w:t>
      </w:r>
    </w:p>
    <w:p>
      <w:pPr>
        <w:spacing w:after="120"/>
      </w:pPr>
      <w:r>
        <w:rPr>
          <w:b/>
          <w:color w:val="1E3A5F"/>
        </w:rPr>
        <w:t xml:space="preserve">➤ Click:  </w:t>
      </w:r>
      <w:r>
        <w:rPr>
          <w:i w:val="0"/>
        </w:rPr>
        <w:t>Nothing yet — just read the cards on the landing page.</w:t>
      </w:r>
    </w:p>
    <w:p>
      <w:pPr>
        <w:spacing w:after="120"/>
      </w:pPr>
      <w:r>
        <w:rPr>
          <w:b/>
          <w:color w:val="475569"/>
        </w:rPr>
        <w:t xml:space="preserve">See:  </w:t>
      </w:r>
      <w:r>
        <w:rPr>
          <w:i w:val="0"/>
        </w:rPr>
        <w:t>A grid of capability cards (Knowledge Graph, Your SOPs, Live Observability, Analytics, Scale &amp; Cost, the 8-Agent Value Chain) and one large card to launch the live agent.</w:t>
      </w:r>
    </w:p>
    <w:p>
      <w:pPr>
        <w:spacing w:after="120"/>
      </w:pPr>
      <w:r>
        <w:rPr>
          <w:b/>
          <w:color w:val="15803D"/>
        </w:rPr>
        <w:t xml:space="preserve">Why it matters:  </w:t>
      </w:r>
      <w:r>
        <w:rPr>
          <w:i w:val="0"/>
        </w:rPr>
        <w:t>This is one intake agent plus the layers around it — the rule engine it runs on, where its rules come from, how it’s observed, and how it scales. You’ll visit the key ones below.</w:t>
      </w:r>
    </w:p>
    <w:p>
      <w:pPr>
        <w:spacing w:before="280" w:after="80"/>
      </w:pPr>
      <w:r>
        <w:rPr>
          <w:b/>
          <w:color w:val="1E3A5F"/>
          <w:sz w:val="30"/>
        </w:rPr>
        <w:t>2.  Watch the agent work</w:t>
      </w:r>
    </w:p>
    <w:p>
      <w:pPr>
        <w:spacing w:after="120"/>
      </w:pPr>
      <w:r>
        <w:rPr>
          <w:b/>
          <w:color w:val="1E3A5F"/>
        </w:rPr>
        <w:t xml:space="preserve">➤ Click:  </w:t>
      </w:r>
      <w:r>
        <w:rPr>
          <w:i w:val="0"/>
        </w:rPr>
        <w:t>The large “Live Intake and Referral Agent” card → then the green “Start Live Processing” button. (Your SOPs load automatically — it runs right away.)</w:t>
      </w:r>
    </w:p>
    <w:p>
      <w:pPr>
        <w:spacing w:after="120"/>
      </w:pPr>
      <w:r>
        <w:rPr>
          <w:b/>
          <w:color w:val="475569"/>
        </w:rPr>
        <w:t xml:space="preserve">See:  </w:t>
      </w:r>
      <w:r>
        <w:rPr>
          <w:i w:val="0"/>
        </w:rPr>
        <w:t>A queue of real referrals processing in real time — patient, equipment, priority (with the reason), gaps, and outcome resolving row by row. Every row’s 3 source documents are openable (📄 📋 💊).</w:t>
      </w:r>
    </w:p>
    <w:p>
      <w:pPr>
        <w:spacing w:after="120"/>
      </w:pPr>
      <w:r>
        <w:rPr>
          <w:b/>
          <w:color w:val="15803D"/>
        </w:rPr>
        <w:t xml:space="preserve">Why it matters:  </w:t>
      </w:r>
      <w:r>
        <w:rPr>
          <w:i w:val="0"/>
        </w:rPr>
        <w:t>It reads every page, extracts the fields, checks them against cited rules, scores its own confidence, and decides route-vs-flag — with no manual data entry. Outreach is drafted, never blind-sent.</w:t>
      </w:r>
    </w:p>
    <w:p>
      <w:pPr>
        <w:spacing w:after="160"/>
      </w:pPr>
      <w:r>
        <w:t>As rows process, the live activity log at the bottom of the screen cites the SOP clause behind each decision — e.g. “held per SOP §2.1”, “ICD conflict → clinical code per SOP §3.4”, “escalated per SOP §6.1 / §8.0”. That’s the agent applying your SOPs, live.</w:t>
      </w:r>
    </w:p>
    <w:p>
      <w:pPr>
        <w:spacing w:after="200"/>
      </w:pPr>
      <w:r>
        <w:t>Tip: let a few rows finish; the “James Holloway” row is highlighted for the next step.</w:t>
      </w:r>
    </w:p>
    <w:p>
      <w:pPr>
        <w:spacing w:before="280" w:after="80"/>
      </w:pPr>
      <w:r>
        <w:rPr>
          <w:b/>
          <w:color w:val="1E3A5F"/>
          <w:sz w:val="30"/>
        </w:rPr>
        <w:t>3.  Inside one referral — the “is it real?” moment</w:t>
      </w:r>
    </w:p>
    <w:p>
      <w:pPr>
        <w:spacing w:after="120"/>
      </w:pPr>
      <w:r>
        <w:rPr>
          <w:b/>
          <w:color w:val="1E3A5F"/>
        </w:rPr>
        <w:t xml:space="preserve">➤ Click:  </w:t>
      </w:r>
      <w:r>
        <w:rPr>
          <w:i w:val="0"/>
        </w:rPr>
        <w:t>Click the highlighted James Holloway row (or “Open Pipeline”). Step through 01 → 07 with the “→” buttons at the bottom of each step.</w:t>
      </w:r>
    </w:p>
    <w:p>
      <w:pPr>
        <w:spacing w:after="120"/>
      </w:pPr>
      <w:r>
        <w:rPr>
          <w:b/>
          <w:color w:val="475569"/>
        </w:rPr>
        <w:t xml:space="preserve">See:  </w:t>
      </w:r>
      <w:r>
        <w:rPr>
          <w:i w:val="0"/>
        </w:rPr>
        <w:t>The full pipeline, stepped 01–07:  01 Channel Intake  ·  02 Data Normalization (every field traced to a source document)  ·  03 Intelligence Layer (cited knowledge-graph validation + an ICD-code conflict where the agent escalates instead of guessing, plus confidence tier)  ·  04 Gap Triage (what’s missing — hard-block vs soft)  ·  05 Digital Outreach (email, drafted)  ·  06 Voice Outreach (a live call, then the transcript)  ·  07 Route Output (the route-ready record).</w:t>
      </w:r>
    </w:p>
    <w:p>
      <w:pPr>
        <w:spacing w:after="120"/>
      </w:pPr>
      <w:r>
        <w:rPr>
          <w:b/>
          <w:color w:val="15803D"/>
        </w:rPr>
        <w:t xml:space="preserve">Why it matters:  </w:t>
      </w:r>
      <w:r>
        <w:rPr>
          <w:i w:val="0"/>
        </w:rPr>
        <w:t>This is the credibility core: it shows its work at every step, and when evidence is split it stops and routes to a human. The restraint is the feature.</w:t>
      </w:r>
    </w:p>
    <w:p>
      <w:pPr>
        <w:spacing w:after="200"/>
      </w:pPr>
      <w:r>
        <w:t>Where SOPs show up here: on Step 03 (Intelligence Layer) you’ll see “Rules sourced from your SOPs →” (opens Stop 4); at Step 07 (Route Output) a “SOPs Applied to This Episode” card lists the exact SOP clauses that governed this referral — decision → clause → regulation. On Step 06 (Voice Outreach) the agent places a real call to a demo line (you don’t need to answer); the transcript appears after.</w:t>
      </w:r>
    </w:p>
    <w:p>
      <w:pPr>
        <w:spacing w:before="280" w:after="80"/>
      </w:pPr>
      <w:r>
        <w:rPr>
          <w:b/>
          <w:color w:val="1E3A5F"/>
          <w:sz w:val="30"/>
        </w:rPr>
        <w:t>4.  Your SOPs → the Agent’s Rules  (the differentiator)</w:t>
      </w:r>
    </w:p>
    <w:p>
      <w:pPr>
        <w:spacing w:after="120"/>
      </w:pPr>
      <w:r>
        <w:rPr>
          <w:b/>
          <w:color w:val="1E3A5F"/>
        </w:rPr>
        <w:t xml:space="preserve">➤ Click:  </w:t>
      </w:r>
      <w:r>
        <w:rPr>
          <w:i w:val="0"/>
        </w:rPr>
        <w:t>Back to the Hub → “Your SOPs → The Agent’s Rules” → click “Ingest SOP → generate rules” to watch the extraction (optional — the agent already runs on your SOPs).</w:t>
      </w:r>
    </w:p>
    <w:p>
      <w:pPr>
        <w:spacing w:after="120"/>
      </w:pPr>
      <w:r>
        <w:rPr>
          <w:b/>
          <w:color w:val="475569"/>
        </w:rPr>
        <w:t xml:space="preserve">See:  </w:t>
      </w:r>
      <w:r>
        <w:rPr>
          <w:i w:val="0"/>
        </w:rPr>
        <w:t>A sample intake SOP on the left; on click, the agent reads it and generates the structured rules live — each mapped to its SOP clause and the CMS authority behind it. Plus governance (versioned, owner, change-control).</w:t>
      </w:r>
    </w:p>
    <w:p>
      <w:pPr>
        <w:spacing w:after="120"/>
      </w:pPr>
      <w:r>
        <w:rPr>
          <w:b/>
          <w:color w:val="15803D"/>
        </w:rPr>
        <w:t xml:space="preserve">Why it matters:  </w:t>
      </w:r>
      <w:r>
        <w:rPr>
          <w:i w:val="0"/>
        </w:rPr>
        <w:t>The agent doesn’t run on generic logic — it runs on YOUR procedures. Change an SOP, the rule regenerates under review. And in any referral’s audit trail, each decision traces back: decision → rule → SOP clause → regulation.</w:t>
      </w:r>
    </w:p>
    <w:p>
      <w:pPr>
        <w:spacing w:after="160"/>
      </w:pPr>
      <w:r>
        <w:t>Seeing it in the run: the live log cites the SOP behind each decision — e.g. “held per SOP §2.1”, “ICD conflict → clinical code per SOP §3.4”, “jurisdiction TX SLA 2d per SOP §5.2”, “escalated per SOP §6.1 / §8.0”. The agent loads your SOP rule set on every run and evaluates each rule against every referral — it’s not a fixed script.</w:t>
      </w:r>
    </w:p>
    <w:p>
      <w:pPr>
        <w:spacing w:after="160"/>
      </w:pPr>
      <w:r>
        <w:t>Where it is on the maturity curve (worth being precise): the agent reads and runs your SOP rules today and traces every decision to its clause and regulation. Having your SOP library also set the exact thresholds directly (confidence cut-offs, state SLAs) is the deployment-phase step — configured-from-your-SOPs today, deepening to generated-from-your-SOPs in deployment.</w:t>
      </w:r>
    </w:p>
    <w:p>
      <w:pPr>
        <w:spacing w:after="200"/>
      </w:pPr>
      <w:r>
        <w:t>Genuinely enforced, not just labeled: SOP §2.1 (authorization required) is sourced from the ingested rule — a referral missing its authorization reference is held and the agent chases the authorization, rather than scheduling unauthorized work. That hold is the SOP doing its job.</w:t>
      </w:r>
    </w:p>
    <w:p>
      <w:pPr>
        <w:spacing w:before="280" w:after="80"/>
      </w:pPr>
      <w:r>
        <w:rPr>
          <w:b/>
          <w:color w:val="1E3A5F"/>
          <w:sz w:val="30"/>
        </w:rPr>
        <w:t>5.  Live Observability — proof the guardrails work</w:t>
      </w:r>
    </w:p>
    <w:p>
      <w:pPr>
        <w:spacing w:after="120"/>
      </w:pPr>
      <w:r>
        <w:rPr>
          <w:b/>
          <w:color w:val="1E3A5F"/>
        </w:rPr>
        <w:t xml:space="preserve">➤ Click:  </w:t>
      </w:r>
      <w:r>
        <w:rPr>
          <w:i w:val="0"/>
        </w:rPr>
        <w:t>Hub → “Live Observability Dashboard.”</w:t>
      </w:r>
    </w:p>
    <w:p>
      <w:pPr>
        <w:spacing w:after="120"/>
      </w:pPr>
      <w:r>
        <w:rPr>
          <w:b/>
          <w:color w:val="475569"/>
        </w:rPr>
        <w:t xml:space="preserve">See:  </w:t>
      </w:r>
      <w:r>
        <w:rPr>
          <w:i w:val="0"/>
        </w:rPr>
        <w:t>Live telemetry (throughput, latency, AI quality, knowledge-graph outcomes, cost) PLUS two things to look at: a per-referral detail table — every episode’s latency and factors individually, with outliers flagged — and a “Guardrail Verification” list of the cases the agent handled autonomously, no human, available for spot-check.</w:t>
      </w:r>
    </w:p>
    <w:p>
      <w:pPr>
        <w:spacing w:after="120"/>
      </w:pPr>
      <w:r>
        <w:rPr>
          <w:b/>
          <w:color w:val="15803D"/>
        </w:rPr>
        <w:t xml:space="preserve">Why it matters:  </w:t>
      </w:r>
      <w:r>
        <w:rPr>
          <w:i w:val="0"/>
        </w:rPr>
        <w:t>It demonstrates the guardrails are working AND that they’re auditable: you can see exactly which cases the agent cleared on its own and open any one to verify the decision. Not just an average — every referral, inspectable.</w:t>
      </w:r>
    </w:p>
    <w:p>
      <w:pPr>
        <w:spacing w:after="160"/>
      </w:pPr>
      <w:r>
        <w:t>The live event log on this dashboard also cites each decision to its SOP clause (e.g. “per SOP §2.1”) — so you can watch your SOPs being applied as the agent runs.</w:t>
      </w:r>
    </w:p>
    <w:p>
      <w:pPr>
        <w:spacing w:before="280" w:after="80"/>
      </w:pPr>
      <w:r>
        <w:rPr>
          <w:b/>
          <w:color w:val="1E3A5F"/>
          <w:sz w:val="30"/>
        </w:rPr>
        <w:t>6.  Scale, cost &amp; management view</w:t>
      </w:r>
    </w:p>
    <w:p>
      <w:pPr>
        <w:spacing w:after="120"/>
      </w:pPr>
      <w:r>
        <w:rPr>
          <w:b/>
          <w:color w:val="1E3A5F"/>
        </w:rPr>
        <w:t xml:space="preserve">➤ Click:  </w:t>
      </w:r>
      <w:r>
        <w:rPr>
          <w:i w:val="0"/>
        </w:rPr>
        <w:t>Hub → “Referral Analytics”, then “Scale &amp; Cost Calculator.”</w:t>
      </w:r>
    </w:p>
    <w:p>
      <w:pPr>
        <w:spacing w:after="120"/>
      </w:pPr>
      <w:r>
        <w:rPr>
          <w:b/>
          <w:color w:val="475569"/>
        </w:rPr>
        <w:t xml:space="preserve">See:  </w:t>
      </w:r>
      <w:r>
        <w:rPr>
          <w:i w:val="0"/>
        </w:rPr>
        <w:t>Analytics: auto-route and escalation rates, confidence tiers, jurisdiction mix, and the most common gaps. Scale &amp; Cost: change the inputs and watch time and cost move — ~3¢ per referral (measured), throughput scaling with concurrency.</w:t>
      </w:r>
    </w:p>
    <w:p>
      <w:pPr>
        <w:spacing w:after="120"/>
      </w:pPr>
      <w:r>
        <w:rPr>
          <w:b/>
          <w:color w:val="15803D"/>
        </w:rPr>
        <w:t xml:space="preserve">Why it matters:  </w:t>
      </w:r>
      <w:r>
        <w:rPr>
          <w:i w:val="0"/>
        </w:rPr>
        <w:t>Answers the two executive questions — “does it hold up at volume, and what does it cost?” — with numbers you can move yourself, and a management view of where work concentrates.</w:t>
      </w:r>
    </w:p>
    <w:p>
      <w:pPr>
        <w:spacing w:before="280" w:after="80"/>
      </w:pPr>
      <w:r>
        <w:rPr>
          <w:b/>
          <w:color w:val="1E3A5F"/>
          <w:sz w:val="30"/>
        </w:rPr>
        <w:t>7.  The bigger picture</w:t>
      </w:r>
    </w:p>
    <w:p>
      <w:pPr>
        <w:spacing w:after="120"/>
      </w:pPr>
      <w:r>
        <w:rPr>
          <w:b/>
          <w:color w:val="1E3A5F"/>
        </w:rPr>
        <w:t xml:space="preserve">➤ Click:  </w:t>
      </w:r>
      <w:r>
        <w:rPr>
          <w:i w:val="0"/>
        </w:rPr>
        <w:t>Hub → “8-Agent Value Chain.”</w:t>
      </w:r>
    </w:p>
    <w:p>
      <w:pPr>
        <w:spacing w:after="120"/>
      </w:pPr>
      <w:r>
        <w:rPr>
          <w:b/>
          <w:color w:val="475569"/>
        </w:rPr>
        <w:t xml:space="preserve">See:  </w:t>
      </w:r>
      <w:r>
        <w:rPr>
          <w:i w:val="0"/>
        </w:rPr>
        <w:t>Referral-to-payment as eight modular agents; intake (what you just explored) is Agent 1, built and live. The rest are the roadmap, each deployable on its own.</w:t>
      </w:r>
    </w:p>
    <w:p>
      <w:pPr>
        <w:spacing w:after="120"/>
      </w:pPr>
      <w:r>
        <w:rPr>
          <w:b/>
          <w:color w:val="15803D"/>
        </w:rPr>
        <w:t xml:space="preserve">Why it matters:  </w:t>
      </w:r>
      <w:r>
        <w:rPr>
          <w:i w:val="0"/>
        </w:rPr>
        <w:t>Frames today’s agent as the first step of a chain — not a one-off — deployable in your environment.</w:t>
      </w:r>
    </w:p>
    <w:p>
      <w:pPr>
        <w:spacing w:before="280" w:after="80"/>
      </w:pPr>
      <w:r>
        <w:rPr>
          <w:b/>
          <w:color w:val="1E3A5F"/>
          <w:sz w:val="30"/>
        </w:rPr>
        <w:t>In one line</w:t>
      </w:r>
    </w:p>
    <w:p>
      <w:pPr>
        <w:spacing w:after="160"/>
      </w:pPr>
      <w:r>
        <w:t>A working agent on real referral packages: it reads, validates against cited rules, knows its own confidence, escalates instead of guessing, runs off your SOPs, reaches out by email and phone, and logs every decision for audit — with the guardrails visible and inspectable. The natural next step is a 48-hour proof on a sample of your own intake packages — no integration, nothing sensitive shared.</w:t>
      </w:r>
    </w:p>
    <w:p>
      <w:pPr>
        <w:spacing w:before="280" w:after="80"/>
      </w:pPr>
      <w:r>
        <w:rPr>
          <w:b/>
          <w:color w:val="1E3A5F"/>
          <w:sz w:val="26"/>
        </w:rPr>
        <w:t>How the agent uses your SOPs</w:t>
      </w:r>
    </w:p>
    <w:p>
      <w:pPr>
        <w:spacing w:after="200"/>
      </w:pPr>
      <w:r>
        <w:t>Applied, not validated after the fact: the agent loads your SOP rule set and applies each rule to every case in real time, tracing each decision to its clause and the regulation behind it. Today the rule set is configured from your SOPs (numeric thresholds live in config, mapped to the clauses).</w:t>
      </w:r>
    </w:p>
    <w:p>
      <w:pPr>
        <w:spacing w:before="280" w:after="80"/>
      </w:pPr>
      <w:r>
        <w:rPr>
          <w:b/>
          <w:color w:val="1E3A5F"/>
          <w:sz w:val="26"/>
        </w:rPr>
        <w:t>A few tips while you explore</w:t>
      </w:r>
    </w:p>
    <w:p>
      <w:pPr>
        <w:pStyle w:val="ListBullet"/>
        <w:spacing w:after="60"/>
      </w:pPr>
      <w:r>
        <w:rPr>
          <w:sz w:val="21"/>
        </w:rPr>
        <w:t>Click “Start Live Processing” before expecting the queue or observability to fill — the screen updates during a run.</w:t>
      </w:r>
    </w:p>
    <w:p>
      <w:pPr>
        <w:pStyle w:val="ListBullet"/>
        <w:spacing w:after="60"/>
      </w:pPr>
      <w:r>
        <w:rPr>
          <w:sz w:val="21"/>
        </w:rPr>
        <w:t>Any completed row opens its full pipeline (same view as the Holloway example).</w:t>
      </w:r>
    </w:p>
    <w:p>
      <w:pPr>
        <w:pStyle w:val="ListBullet"/>
        <w:spacing w:after="60"/>
      </w:pPr>
      <w:r>
        <w:rPr>
          <w:sz w:val="21"/>
        </w:rPr>
        <w:t>The Voice step dials a demo line; you don’t need to do anything — just watch the call status and transcript.</w:t>
      </w:r>
    </w:p>
    <w:p>
      <w:pPr>
        <w:pStyle w:val="ListBullet"/>
        <w:spacing w:after="60"/>
      </w:pPr>
      <w:r>
        <w:rPr>
          <w:sz w:val="21"/>
        </w:rPr>
        <w:t>Don’t refresh the live agent screen mid-run — it resets the queue.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