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Classification Policy</w:t>
      </w:r>
    </w:p>
    <w:p>
      <w:pPr>
        <w:jc w:val="center"/>
      </w:pPr>
      <w:r>
        <w:rPr>
          <w:b/>
        </w:rPr>
        <w:t>Asteria Digital Services | DCP-DATA-002 | Version 2.3 | Effective 2026-04-10</w:t>
      </w:r>
    </w:p>
    <w:p>
      <w:pPr>
        <w:jc w:val="center"/>
      </w:pPr>
      <w:r>
        <w:t>Owner: Data Governance</w:t>
      </w:r>
    </w:p>
    <w:p>
      <w:pPr>
        <w:jc w:val="center"/>
      </w:pPr>
      <w:r>
        <w:rPr>
          <w:i/>
          <w:sz w:val="17"/>
        </w:rPr>
        <w:t>Synthetic training document - created for the Week 2 RAG project. No real company policy is represented.</w:t>
      </w:r>
    </w:p>
    <w:p>
      <w:pPr>
        <w:pStyle w:val="Heading1"/>
      </w:pPr>
      <w:r>
        <w:t>1. Purpose</w:t>
      </w:r>
    </w:p>
    <w:p>
      <w:r>
        <w:t>This policy defines four information-classification levels and the minimum handling expectations for each level.</w:t>
      </w:r>
    </w:p>
    <w:p>
      <w:pPr>
        <w:pStyle w:val="Heading1"/>
      </w:pPr>
      <w:r>
        <w:t>2. Classification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2520"/>
          </w:tcPr>
          <w:p>
            <w:r>
              <w:rPr>
                <w:b/>
              </w:rPr>
              <w:t>Examples</w:t>
            </w:r>
          </w:p>
        </w:tc>
        <w:tc>
          <w:tcPr>
            <w:tcW w:type="dxa" w:w="2520"/>
          </w:tcPr>
          <w:p>
            <w:r>
              <w:rPr>
                <w:b/>
              </w:rPr>
              <w:t>Sharing</w:t>
            </w:r>
          </w:p>
        </w:tc>
        <w:tc>
          <w:tcPr>
            <w:tcW w:type="dxa" w:w="2520"/>
          </w:tcPr>
          <w:p>
            <w:r>
              <w:rPr>
                <w:b/>
              </w:rPr>
              <w:t>Minimum Controls</w:t>
            </w:r>
          </w:p>
        </w:tc>
      </w:tr>
      <w:tr>
        <w:tc>
          <w:tcPr>
            <w:tcW w:type="dxa" w:w="2520"/>
          </w:tcPr>
          <w:p>
            <w:r>
              <w:t>Public</w:t>
            </w:r>
          </w:p>
        </w:tc>
        <w:tc>
          <w:tcPr>
            <w:tcW w:type="dxa" w:w="2520"/>
          </w:tcPr>
          <w:p>
            <w:r>
              <w:t>Published product information, public website content</w:t>
            </w:r>
          </w:p>
        </w:tc>
        <w:tc>
          <w:tcPr>
            <w:tcW w:type="dxa" w:w="2520"/>
          </w:tcPr>
          <w:p>
            <w:r>
              <w:t>May be shared externally</w:t>
            </w:r>
          </w:p>
        </w:tc>
        <w:tc>
          <w:tcPr>
            <w:tcW w:type="dxa" w:w="2520"/>
          </w:tcPr>
          <w:p>
            <w:r>
              <w:t>Integrity controls; normal access management</w:t>
            </w:r>
          </w:p>
        </w:tc>
      </w:tr>
      <w:tr>
        <w:tc>
          <w:tcPr>
            <w:tcW w:type="dxa" w:w="2520"/>
          </w:tcPr>
          <w:p>
            <w:r>
              <w:t>Internal</w:t>
            </w:r>
          </w:p>
        </w:tc>
        <w:tc>
          <w:tcPr>
            <w:tcW w:type="dxa" w:w="2520"/>
          </w:tcPr>
          <w:p>
            <w:r>
              <w:t>Internal procedures, routine operational information</w:t>
            </w:r>
          </w:p>
        </w:tc>
        <w:tc>
          <w:tcPr>
            <w:tcW w:type="dxa" w:w="2520"/>
          </w:tcPr>
          <w:p>
            <w:r>
              <w:t>Employees and authorized contractors</w:t>
            </w:r>
          </w:p>
        </w:tc>
        <w:tc>
          <w:tcPr>
            <w:tcW w:type="dxa" w:w="2520"/>
          </w:tcPr>
          <w:p>
            <w:r>
              <w:t>Authenticated access; do not publish externally without approval</w:t>
            </w:r>
          </w:p>
        </w:tc>
      </w:tr>
      <w:tr>
        <w:tc>
          <w:tcPr>
            <w:tcW w:type="dxa" w:w="2520"/>
          </w:tcPr>
          <w:p>
            <w:r>
              <w:t>Confidential</w:t>
            </w:r>
          </w:p>
        </w:tc>
        <w:tc>
          <w:tcPr>
            <w:tcW w:type="dxa" w:w="2520"/>
          </w:tcPr>
          <w:p>
            <w:r>
              <w:t>Customer contact data, commercial agreements, non-public financial information</w:t>
            </w:r>
          </w:p>
        </w:tc>
        <w:tc>
          <w:tcPr>
            <w:tcW w:type="dxa" w:w="2520"/>
          </w:tcPr>
          <w:p>
            <w:r>
              <w:t>Need-to-know</w:t>
            </w:r>
          </w:p>
        </w:tc>
        <w:tc>
          <w:tcPr>
            <w:tcW w:type="dxa" w:w="2520"/>
          </w:tcPr>
          <w:p>
            <w:r>
              <w:t>Encrypt in transit and at rest; least privilege; masking in logs</w:t>
            </w:r>
          </w:p>
        </w:tc>
      </w:tr>
      <w:tr>
        <w:tc>
          <w:tcPr>
            <w:tcW w:type="dxa" w:w="2520"/>
          </w:tcPr>
          <w:p>
            <w:r>
              <w:t>Restricted</w:t>
            </w:r>
          </w:p>
        </w:tc>
        <w:tc>
          <w:tcPr>
            <w:tcW w:type="dxa" w:w="2520"/>
          </w:tcPr>
          <w:p>
            <w:r>
              <w:t>Authentication secrets, private keys, highly regulated personal data, full payment card data</w:t>
            </w:r>
          </w:p>
        </w:tc>
        <w:tc>
          <w:tcPr>
            <w:tcW w:type="dxa" w:w="2520"/>
          </w:tcPr>
          <w:p>
            <w:r>
              <w:t>Strictly limited authorized users/services</w:t>
            </w:r>
          </w:p>
        </w:tc>
        <w:tc>
          <w:tcPr>
            <w:tcW w:type="dxa" w:w="2520"/>
          </w:tcPr>
          <w:p>
            <w:r>
              <w:t>Encrypt in transit and at rest; strongest access controls; prohibited in normal logs</w:t>
            </w:r>
          </w:p>
        </w:tc>
      </w:tr>
    </w:tbl>
    <w:p>
      <w:pPr>
        <w:pStyle w:val="Heading1"/>
      </w:pPr>
      <w:r>
        <w:t>3. Logging Rules</w:t>
      </w:r>
    </w:p>
    <w:p>
      <w:pPr>
        <w:pStyle w:val="ListBullet"/>
      </w:pPr>
      <w:r>
        <w:t>Public and Internal data may be logged when there is a legitimate operational need.</w:t>
      </w:r>
    </w:p>
    <w:p>
      <w:pPr>
        <w:pStyle w:val="ListBullet"/>
      </w:pPr>
      <w:r>
        <w:t>Confidential data should be masked, tokenized, truncated, or otherwise minimized before logging.</w:t>
      </w:r>
    </w:p>
    <w:p>
      <w:pPr>
        <w:pStyle w:val="ListBullet"/>
      </w:pPr>
      <w:r>
        <w:t>Restricted data MUST NOT be written to standard application or integration logs.</w:t>
      </w:r>
    </w:p>
    <w:p>
      <w:pPr>
        <w:pStyle w:val="ListBullet"/>
      </w:pPr>
      <w:r>
        <w:t>Credentials and authentication secrets are always prohibited in logs.</w:t>
      </w:r>
    </w:p>
    <w:p>
      <w:pPr>
        <w:pStyle w:val="Heading1"/>
      </w:pPr>
      <w:r>
        <w:t>4. Encryption and Storage</w:t>
      </w:r>
    </w:p>
    <w:p>
      <w:pPr>
        <w:pStyle w:val="ListBullet"/>
      </w:pPr>
      <w:r>
        <w:t>Confidential and Restricted data MUST use encryption in transit and at rest.</w:t>
      </w:r>
    </w:p>
    <w:p>
      <w:pPr>
        <w:pStyle w:val="ListBullet"/>
      </w:pPr>
      <w:r>
        <w:t>Approved cloud-managed encryption is acceptable for Confidential data unless another requirement mandates customer-managed keys.</w:t>
      </w:r>
    </w:p>
    <w:p>
      <w:pPr>
        <w:pStyle w:val="ListBullet"/>
      </w:pPr>
      <w:r>
        <w:t>Restricted data may require customer-managed keys depending on regulatory, contractual, or risk-assessment requirements.</w:t>
      </w:r>
    </w:p>
    <w:p>
      <w:pPr>
        <w:pStyle w:val="ListBullet"/>
      </w:pPr>
      <w:r>
        <w:t>Storage locations must be approved for the classification level being stored.</w:t>
      </w:r>
    </w:p>
    <w:p>
      <w:pPr>
        <w:pStyle w:val="Heading1"/>
      </w:pPr>
      <w:r>
        <w:t>5. Data Minimization</w:t>
      </w:r>
    </w:p>
    <w:p>
      <w:r>
        <w:t>Applications and integrations SHOULD collect, transfer, and retain only the data necessary for the stated business purpose. A downstream system should not receive Restricted or Confidential fields that it does not need.</w:t>
      </w:r>
    </w:p>
    <w:p>
      <w:pPr>
        <w:pStyle w:val="Heading1"/>
      </w:pPr>
      <w:r>
        <w:t>6. Handling Uncertainty</w:t>
      </w:r>
    </w:p>
    <w:p>
      <w:r>
        <w:t>If a data item could reasonably fall into two levels, apply the higher classification until the Data Governance owner confirms the appropriate level.</w:t>
      </w:r>
    </w:p>
    <w:p>
      <w:pPr>
        <w:pStyle w:val="Heading1"/>
      </w:pPr>
      <w:r>
        <w:t>7. Cross-References</w:t>
      </w:r>
    </w:p>
    <w:p>
      <w:pPr>
        <w:pStyle w:val="ListBullet"/>
      </w:pPr>
      <w:r>
        <w:t>Cloud Security Policy - encryption and secrets</w:t>
      </w:r>
    </w:p>
    <w:p>
      <w:pPr>
        <w:pStyle w:val="ListBullet"/>
      </w:pPr>
      <w:r>
        <w:t>Logging &amp; Monitoring Standard - operational logging and retention</w:t>
      </w:r>
    </w:p>
    <w:p>
      <w:pPr>
        <w:pStyle w:val="ListBullet"/>
      </w:pPr>
      <w:r>
        <w:t>API Design Standards - API payload and error handling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