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C26"/>
          <w:sz w:val="34"/>
          <w:szCs w:val="34"/>
        </w:rPr>
        <w:t xml:space="preserve">SDK Fundamentals</w:t>
      </w:r>
    </w:p>
    <w:p>
      <w:pPr>
        <w:spacing w:after="260"/>
      </w:pPr>
      <w:r>
        <w:rPr>
          <w:b/>
          <w:bCs/>
          <w:color w:val="00867A"/>
          <w:sz w:val="22"/>
          <w:szCs w:val="22"/>
        </w:rPr>
        <w:t xml:space="preserve">What it is, how it works, and what it would change in this project</w:t>
      </w:r>
    </w:p>
    <w:p>
      <w:pPr>
        <w:pStyle w:val="Heading1"/>
        <w:pBdr>
          <w:bottom w:val="single" w:color="00867A" w:sz="6" w:space="4"/>
        </w:pBdr>
        <w:spacing w:after="140" w:before="360"/>
      </w:pPr>
      <w:r>
        <w:rPr>
          <w:b/>
          <w:bCs/>
          <w:color w:val="0F1C26"/>
          <w:sz w:val="26"/>
          <w:szCs w:val="26"/>
        </w:rPr>
        <w:t xml:space="preserve">1. What is an SDK?</w:t>
      </w:r>
    </w:p>
    <w:p>
      <w:pPr>
        <w:spacing w:after="160"/>
      </w:pPr>
      <w:r>
        <w:rPr>
          <w:color w:val="0F1C26"/>
          <w:sz w:val="21"/>
          <w:szCs w:val="21"/>
        </w:rPr>
        <w:t xml:space="preserve">A Software Development Kit (SDK) is a packaged, reusable piece of code that exposes a small, deliberate set of functions or classes — its “public API” — so other programs can use its capabilities without knowing how they work inside.</w:t>
      </w:r>
    </w:p>
    <w:tbl>
      <w:tblPr>
        <w:tblW w:type="dxa" w:w="10080"/>
        <w:tblBorders>
          <w:top w:val="single" w:color="D5DCE1" w:sz="4"/>
          <w:left w:val="single" w:color="D5DCE1" w:sz="4"/>
          <w:bottom w:val="single" w:color="D5DCE1" w:sz="4"/>
          <w:right w:val="single" w:color="D5DCE1" w:sz="4"/>
          <w:insideH w:val="single" w:color="D5DCE1" w:sz="2"/>
          <w:insideV w:val="single" w:color="D5DCE1" w:sz="2"/>
        </w:tblBorders>
      </w:tblPr>
      <w:tblGrid>
        <w:gridCol w:w="4200"/>
        <w:gridCol w:w="5880"/>
      </w:tblGrid>
      <w:tr>
        <w:tc>
          <w:tcPr>
            <w:tcW w:type="dxa" w:w="4200"/>
            <w:shd w:fill="1E354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Trait</w:t>
            </w:r>
          </w:p>
        </w:tc>
        <w:tc>
          <w:tcPr>
            <w:tcW w:type="dxa" w:w="5880"/>
            <w:shd w:fill="1E354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F1C26"/>
                <w:sz w:val="19"/>
                <w:szCs w:val="19"/>
              </w:rPr>
              <w:t xml:space="preserve">Packaged</w:t>
            </w:r>
          </w:p>
        </w:tc>
        <w:tc>
          <w:tcPr>
            <w:tcW w:type="dxa" w:w="58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636E"/>
                <w:sz w:val="19"/>
                <w:szCs w:val="19"/>
              </w:rPr>
              <w:t xml:space="preserve">Installed as one versioned unit (e.g. pip install aiops-sdk), not copied file by file.</w:t>
            </w:r>
          </w:p>
        </w:tc>
      </w:tr>
      <w:tr>
        <w:tc>
          <w:tcPr>
            <w:tcW w:type="dxa" w:w="4200"/>
            <w:shd w:fill="EEF1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F1C26"/>
                <w:sz w:val="19"/>
                <w:szCs w:val="19"/>
              </w:rPr>
              <w:t xml:space="preserve">Stable interface</w:t>
            </w:r>
          </w:p>
        </w:tc>
        <w:tc>
          <w:tcPr>
            <w:tcW w:type="dxa" w:w="5880"/>
            <w:shd w:fill="EEF1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636E"/>
                <w:sz w:val="19"/>
                <w:szCs w:val="19"/>
              </w:rPr>
              <w:t xml:space="preserve">A small, documented set of functions/classes. What's behind them can change without breaking callers.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F1C26"/>
                <w:sz w:val="19"/>
                <w:szCs w:val="19"/>
              </w:rPr>
              <w:t xml:space="preserve">Built for other code</w:t>
            </w:r>
          </w:p>
        </w:tc>
        <w:tc>
          <w:tcPr>
            <w:tcW w:type="dxa" w:w="58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636E"/>
                <w:sz w:val="19"/>
                <w:szCs w:val="19"/>
              </w:rPr>
              <w:t xml:space="preserve">Designed to be imported by other apps or teams — not just to run on its own.</w:t>
            </w:r>
          </w:p>
        </w:tc>
      </w:tr>
    </w:tbl>
    <w:p>
      <w:pPr>
        <w:pStyle w:val="Heading1"/>
        <w:pBdr>
          <w:bottom w:val="single" w:color="00867A" w:sz="6" w:space="4"/>
        </w:pBdr>
        <w:spacing w:after="140" w:before="360"/>
      </w:pPr>
      <w:r>
        <w:rPr>
          <w:b/>
          <w:bCs/>
          <w:color w:val="0F1C26"/>
          <w:sz w:val="26"/>
          <w:szCs w:val="26"/>
        </w:rPr>
        <w:t xml:space="preserve">2. How it works, mechanically</w:t>
      </w:r>
    </w:p>
    <w:p>
      <w:pPr>
        <w:spacing w:after="160"/>
      </w:pPr>
      <w:r>
        <w:rPr>
          <w:color w:val="0F1C26"/>
          <w:sz w:val="21"/>
          <w:szCs w:val="21"/>
        </w:rPr>
        <w:t xml:space="preserve">From a consumer's point of view, using an SDK is always the same four steps:</w:t>
      </w:r>
    </w:p>
    <w:p>
      <w:pPr>
        <w:spacing w:after="40"/>
      </w:pPr>
      <w:r>
        <w:rPr>
          <w:color w:val="0F1C26"/>
          <w:sz w:val="21"/>
          <w:szCs w:val="21"/>
        </w:rPr>
        <w:t xml:space="preserve">1.  Install it once — add it as a dependency.</w:t>
      </w:r>
    </w:p>
    <w:p>
      <w:pPr>
        <w:spacing w:after="40"/>
      </w:pPr>
      <w:r>
        <w:rPr>
          <w:color w:val="0F1C26"/>
          <w:sz w:val="21"/>
          <w:szCs w:val="21"/>
        </w:rPr>
        <w:t xml:space="preserve">2.  Import only the parts you need — e.g. from aiops_sdk import IncidentSearch.</w:t>
      </w:r>
    </w:p>
    <w:p>
      <w:pPr>
        <w:spacing w:after="40"/>
      </w:pPr>
      <w:r>
        <w:rPr>
          <w:color w:val="0F1C26"/>
          <w:sz w:val="21"/>
          <w:szCs w:val="21"/>
        </w:rPr>
        <w:t xml:space="preserve">3.  Call its public functions or classes — you never touch BigQuery, Gemini, or ServiceNow directly.</w:t>
      </w:r>
    </w:p>
    <w:p>
      <w:pPr>
        <w:spacing w:after="240"/>
      </w:pPr>
      <w:r>
        <w:rPr>
          <w:color w:val="0F1C26"/>
          <w:sz w:val="21"/>
          <w:szCs w:val="21"/>
        </w:rPr>
        <w:t xml:space="preserve">4.  The SDK does the real work internally and hands back a clean, predictable result.</w:t>
      </w:r>
    </w:p>
    <w:p>
      <w:pPr>
        <w:pStyle w:val="Heading1"/>
        <w:pBdr>
          <w:bottom w:val="single" w:color="00867A" w:sz="6" w:space="4"/>
        </w:pBdr>
        <w:spacing w:after="140" w:before="360"/>
      </w:pPr>
      <w:r>
        <w:rPr>
          <w:b/>
          <w:bCs/>
          <w:color w:val="0F1C26"/>
          <w:sz w:val="26"/>
          <w:szCs w:val="26"/>
        </w:rPr>
        <w:t xml:space="preserve">3. When does this help?</w:t>
      </w:r>
    </w:p>
    <w:tbl>
      <w:tblPr>
        <w:tblW w:type="dxa" w:w="10080"/>
        <w:tblBorders>
          <w:top w:val="single" w:color="D5DCE1" w:sz="4"/>
          <w:left w:val="single" w:color="D5DCE1" w:sz="4"/>
          <w:bottom w:val="single" w:color="D5DCE1" w:sz="4"/>
          <w:right w:val="single" w:color="D5DCE1" w:sz="4"/>
          <w:insideH w:val="single" w:color="D5DCE1" w:sz="2"/>
          <w:insideV w:val="single" w:color="D5DCE1" w:sz="2"/>
        </w:tblBorders>
      </w:tblPr>
      <w:tblGrid>
        <w:gridCol w:w="4200"/>
        <w:gridCol w:w="5880"/>
      </w:tblGrid>
      <w:tr>
        <w:tc>
          <w:tcPr>
            <w:tcW w:type="dxa" w:w="4200"/>
            <w:shd w:fill="1E354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5880"/>
            <w:shd w:fill="1E354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an SDK helps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F1C26"/>
                <w:sz w:val="19"/>
                <w:szCs w:val="19"/>
              </w:rPr>
              <w:t xml:space="preserve">More than one app needs the same capability</w:t>
            </w:r>
          </w:p>
        </w:tc>
        <w:tc>
          <w:tcPr>
            <w:tcW w:type="dxa" w:w="58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636E"/>
                <w:sz w:val="19"/>
                <w:szCs w:val="19"/>
              </w:rPr>
              <w:t xml:space="preserve">Write the logic once; every app imports it instead of copying scripts.</w:t>
            </w:r>
          </w:p>
        </w:tc>
      </w:tr>
      <w:tr>
        <w:tc>
          <w:tcPr>
            <w:tcW w:type="dxa" w:w="4200"/>
            <w:shd w:fill="EEF1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F1C26"/>
                <w:sz w:val="19"/>
                <w:szCs w:val="19"/>
              </w:rPr>
              <w:t xml:space="preserve">A team outside this project wants to build on it</w:t>
            </w:r>
          </w:p>
        </w:tc>
        <w:tc>
          <w:tcPr>
            <w:tcW w:type="dxa" w:w="5880"/>
            <w:shd w:fill="EEF1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636E"/>
                <w:sz w:val="19"/>
                <w:szCs w:val="19"/>
              </w:rPr>
              <w:t xml:space="preserve">They get a documented API, not your whole codebase and folder layout.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F1C26"/>
                <w:sz w:val="19"/>
                <w:szCs w:val="19"/>
              </w:rPr>
              <w:t xml:space="preserve">The underlying system might change (model, database, vendor)</w:t>
            </w:r>
          </w:p>
        </w:tc>
        <w:tc>
          <w:tcPr>
            <w:tcW w:type="dxa" w:w="58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636E"/>
                <w:sz w:val="19"/>
                <w:szCs w:val="19"/>
              </w:rPr>
              <w:t xml:space="preserve">Only the SDK's internals change — every consumer keeps working unchanged.</w:t>
            </w:r>
          </w:p>
        </w:tc>
      </w:tr>
      <w:tr>
        <w:tc>
          <w:tcPr>
            <w:tcW w:type="dxa" w:w="4200"/>
            <w:shd w:fill="EEF1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F1C26"/>
                <w:sz w:val="19"/>
                <w:szCs w:val="19"/>
              </w:rPr>
              <w:t xml:space="preserve">You want to test or release this logic on its own schedule</w:t>
            </w:r>
          </w:p>
        </w:tc>
        <w:tc>
          <w:tcPr>
            <w:tcW w:type="dxa" w:w="5880"/>
            <w:shd w:fill="EEF1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636E"/>
                <w:sz w:val="19"/>
                <w:szCs w:val="19"/>
              </w:rPr>
              <w:t xml:space="preserve">The SDK has its own tests and version number, separate from any one app.</w:t>
            </w:r>
          </w:p>
        </w:tc>
      </w:tr>
    </w:tbl>
    <w:p>
      <w:pPr>
        <w:pStyle w:val="Heading1"/>
        <w:pBdr>
          <w:bottom w:val="single" w:color="00867A" w:sz="6" w:space="4"/>
        </w:pBdr>
        <w:spacing w:after="140" w:before="360"/>
      </w:pPr>
      <w:r>
        <w:rPr>
          <w:b/>
          <w:bCs/>
          <w:color w:val="0F1C26"/>
          <w:sz w:val="26"/>
          <w:szCs w:val="26"/>
        </w:rPr>
        <w:t xml:space="preserve">4. Where reusability already exists here</w:t>
      </w:r>
    </w:p>
    <w:p>
      <w:pPr>
        <w:spacing w:after="160"/>
      </w:pPr>
      <w:r>
        <w:rPr>
          <w:color w:val="0F1C26"/>
          <w:sz w:val="21"/>
          <w:szCs w:val="21"/>
        </w:rPr>
        <w:t xml:space="preserve">These are already reusable capabilities — they're just not packaged as one yet:</w:t>
      </w:r>
    </w:p>
    <w:tbl>
      <w:tblPr>
        <w:tblW w:type="dxa" w:w="10080"/>
        <w:tblBorders>
          <w:top w:val="single" w:color="D5DCE1" w:sz="4"/>
          <w:left w:val="single" w:color="D5DCE1" w:sz="4"/>
          <w:bottom w:val="single" w:color="D5DCE1" w:sz="4"/>
          <w:right w:val="single" w:color="D5DCE1" w:sz="4"/>
          <w:insideH w:val="single" w:color="D5DCE1" w:sz="2"/>
          <w:insideV w:val="single" w:color="D5DCE1" w:sz="2"/>
        </w:tblBorders>
      </w:tblPr>
      <w:tblGrid>
        <w:gridCol w:w="4200"/>
        <w:gridCol w:w="5880"/>
      </w:tblGrid>
      <w:tr>
        <w:tc>
          <w:tcPr>
            <w:tcW w:type="dxa" w:w="4200"/>
            <w:shd w:fill="1E354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5880"/>
            <w:shd w:fill="1E354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Lives in / problem today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F1C26"/>
                <w:sz w:val="19"/>
                <w:szCs w:val="19"/>
              </w:rPr>
              <w:t xml:space="preserve">Search similar past incidents (embed + BigQuery vector search)</w:t>
            </w:r>
          </w:p>
        </w:tc>
        <w:tc>
          <w:tcPr>
            <w:tcW w:type="dxa" w:w="58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636E"/>
                <w:sz w:val="19"/>
                <w:szCs w:val="19"/>
              </w:rPr>
              <w:t xml:space="preserve">query_incident.py — only usable by importing this exact file from this exact folder</w:t>
            </w:r>
          </w:p>
        </w:tc>
      </w:tr>
      <w:tr>
        <w:tc>
          <w:tcPr>
            <w:tcW w:type="dxa" w:w="4200"/>
            <w:shd w:fill="EEF1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F1C26"/>
                <w:sz w:val="19"/>
                <w:szCs w:val="19"/>
              </w:rPr>
              <w:t xml:space="preserve">Ask the LLM for a suggested resolution</w:t>
            </w:r>
          </w:p>
        </w:tc>
        <w:tc>
          <w:tcPr>
            <w:tcW w:type="dxa" w:w="5880"/>
            <w:shd w:fill="EEF1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636E"/>
                <w:sz w:val="19"/>
                <w:szCs w:val="19"/>
              </w:rPr>
              <w:t xml:space="preserve">query_incident_gemini.py — a second app wanting suggestions would copy this pattern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F1C26"/>
                <w:sz w:val="19"/>
                <w:szCs w:val="19"/>
              </w:rPr>
              <w:t xml:space="preserve">Match a new incident to a known auto-fixable issue</w:t>
            </w:r>
          </w:p>
        </w:tc>
        <w:tc>
          <w:tcPr>
            <w:tcW w:type="dxa" w:w="58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636E"/>
                <w:sz w:val="19"/>
                <w:szCs w:val="19"/>
              </w:rPr>
              <w:t xml:space="preserve">week3/auto_remediation.py — tightly tied to week3/remedies.py's exact functions</w:t>
            </w:r>
          </w:p>
        </w:tc>
      </w:tr>
      <w:tr>
        <w:tc>
          <w:tcPr>
            <w:tcW w:type="dxa" w:w="4200"/>
            <w:shd w:fill="EEF1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F1C26"/>
                <w:sz w:val="19"/>
                <w:szCs w:val="19"/>
              </w:rPr>
              <w:t xml:space="preserve">Create, resolve, or escalate a ServiceNow incident</w:t>
            </w:r>
          </w:p>
        </w:tc>
        <w:tc>
          <w:tcPr>
            <w:tcW w:type="dxa" w:w="5880"/>
            <w:shd w:fill="EEF1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55636E"/>
                <w:sz w:val="19"/>
                <w:szCs w:val="19"/>
              </w:rPr>
              <w:t xml:space="preserve">Split across seed_resolved_incidents.py and auto_remediation.py — similar logic in two places</w:t>
            </w:r>
          </w:p>
        </w:tc>
      </w:tr>
    </w:tbl>
    <w:p>
      <w:pPr>
        <w:pStyle w:val="Heading1"/>
        <w:pBdr>
          <w:bottom w:val="single" w:color="00867A" w:sz="6" w:space="4"/>
        </w:pBdr>
        <w:spacing w:after="140" w:before="360"/>
      </w:pPr>
      <w:r>
        <w:rPr>
          <w:b/>
          <w:bCs/>
          <w:color w:val="0F1C26"/>
          <w:sz w:val="26"/>
          <w:szCs w:val="26"/>
        </w:rPr>
        <w:t xml:space="preserve">5. Architecture today: scripts calling out directly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1E3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Consumer: app.py  (Week 2 + Week 3 web app)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color w:val="00867A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55636E"/>
                <w:sz w:val="17"/>
                <w:szCs w:val="17"/>
              </w:rPr>
              <w:t xml:space="preserve">imports each script directly, by file name</w:t>
            </w:r>
          </w:p>
        </w:tc>
      </w:tr>
      <w:tr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6F4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C26"/>
                <w:sz w:val="16"/>
                <w:szCs w:val="16"/>
              </w:rPr>
              <w:t xml:space="preserve">query_incident.py</w:t>
            </w:r>
          </w:p>
        </w:tc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6F4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C26"/>
                <w:sz w:val="16"/>
                <w:szCs w:val="16"/>
              </w:rPr>
              <w:t xml:space="preserve">query_incident_gemini.py</w:t>
            </w:r>
          </w:p>
        </w:tc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6F4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C26"/>
                <w:sz w:val="16"/>
                <w:szCs w:val="16"/>
              </w:rPr>
              <w:t xml:space="preserve">week3/auto_remediation.py</w:t>
            </w:r>
          </w:p>
        </w:tc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6F4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C26"/>
                <w:sz w:val="16"/>
                <w:szCs w:val="16"/>
              </w:rPr>
              <w:t xml:space="preserve">week3/mock_systems.py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color w:val="00867A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55636E"/>
                <w:sz w:val="17"/>
                <w:szCs w:val="17"/>
              </w:rPr>
              <w:t xml:space="preserve">each script calls out on its own</w:t>
            </w:r>
          </w:p>
        </w:tc>
      </w:tr>
      <w:tr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EF1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636E"/>
                <w:sz w:val="16"/>
                <w:szCs w:val="16"/>
              </w:rPr>
              <w:t xml:space="preserve">BigQuery</w:t>
            </w:r>
          </w:p>
        </w:tc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EF1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636E"/>
                <w:sz w:val="16"/>
                <w:szCs w:val="16"/>
              </w:rPr>
              <w:t xml:space="preserve">Gemini API</w:t>
            </w:r>
          </w:p>
        </w:tc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EF1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636E"/>
                <w:sz w:val="16"/>
                <w:szCs w:val="16"/>
              </w:rPr>
              <w:t xml:space="preserve">ServiceNow API</w:t>
            </w:r>
          </w:p>
        </w:tc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EF1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636E"/>
                <w:sz w:val="16"/>
                <w:szCs w:val="16"/>
              </w:rPr>
              <w:t xml:space="preserve">Local disk / mock state</w:t>
            </w:r>
          </w:p>
        </w:tc>
      </w:tr>
    </w:tbl>
    <w:p>
      <w:pPr>
        <w:spacing w:after="240" w:before="100"/>
      </w:pPr>
      <w:r>
        <w:rPr>
          <w:i/>
          <w:iCs/>
          <w:color w:val="55636E"/>
          <w:sz w:val="19"/>
          <w:szCs w:val="19"/>
        </w:rPr>
        <w:t xml:space="preserve">Every script reaches an external system on its own. A new consumer has to know which script does what, and copy app.py's import pattern to reuse any of it.</w:t>
      </w:r>
    </w:p>
    <w:p>
      <w:pPr>
        <w:pStyle w:val="Heading1"/>
        <w:pBdr>
          <w:bottom w:val="single" w:color="00867A" w:sz="6" w:space="4"/>
        </w:pBdr>
        <w:spacing w:after="140" w:before="360"/>
      </w:pPr>
      <w:r>
        <w:rPr>
          <w:b/>
          <w:bCs/>
          <w:color w:val="0F1C26"/>
          <w:sz w:val="26"/>
          <w:szCs w:val="26"/>
        </w:rPr>
        <w:t xml:space="preserve">6. Architecture with an SDK: one layer in between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0080"/>
            <w:gridSpan w:val="4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1E354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Consumers: app.py · a future Slack bot · a CLI tool · another team's service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color w:val="00867A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55636E"/>
                <w:sz w:val="17"/>
                <w:szCs w:val="17"/>
              </w:rPr>
              <w:t xml:space="preserve">one import: aiops_sdk</w:t>
            </w:r>
          </w:p>
        </w:tc>
      </w:tr>
      <w:tr>
        <w:tc>
          <w:tcPr>
            <w:tcW w:type="dxa" w:w="10080"/>
            <w:gridSpan w:val="4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00867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aiops_sdk  —  IncidentSearch · Remediator · ServiceNowClient · LLM</w:t>
            </w:r>
          </w:p>
        </w:tc>
      </w:tr>
      <w:tr>
        <w:tc>
          <w:tcPr>
            <w:tcW w:type="dxa" w:w="1008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b/>
                <w:bCs/>
                <w:color w:val="00867A"/>
                <w:sz w:val="22"/>
                <w:szCs w:val="22"/>
              </w:rPr>
              <w:t xml:space="preserve">↓  </w:t>
            </w:r>
            <w:r>
              <w:rPr>
                <w:i/>
                <w:iCs/>
                <w:color w:val="55636E"/>
                <w:sz w:val="17"/>
                <w:szCs w:val="17"/>
              </w:rPr>
              <w:t xml:space="preserve">the SDK calls out internally</w:t>
            </w:r>
          </w:p>
        </w:tc>
      </w:tr>
      <w:tr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EF1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636E"/>
                <w:sz w:val="16"/>
                <w:szCs w:val="16"/>
              </w:rPr>
              <w:t xml:space="preserve">BigQuery</w:t>
            </w:r>
          </w:p>
        </w:tc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EF1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636E"/>
                <w:sz w:val="16"/>
                <w:szCs w:val="16"/>
              </w:rPr>
              <w:t xml:space="preserve">Gemini API</w:t>
            </w:r>
          </w:p>
        </w:tc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EF1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636E"/>
                <w:sz w:val="16"/>
                <w:szCs w:val="16"/>
              </w:rPr>
              <w:t xml:space="preserve">ServiceNow API</w:t>
            </w:r>
          </w:p>
        </w:tc>
        <w:tc>
          <w:tcPr>
            <w:tcW w:type="dxa" w:w="2520"/>
            <w:tcBorders>
              <w:top w:val="single" w:color="D5DCE1" w:sz="4"/>
              <w:left w:val="single" w:color="D5DCE1" w:sz="4"/>
              <w:bottom w:val="single" w:color="D5DCE1" w:sz="4"/>
              <w:right w:val="single" w:color="D5DCE1" w:sz="4"/>
            </w:tcBorders>
            <w:shd w:fill="EEF1F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636E"/>
                <w:sz w:val="16"/>
                <w:szCs w:val="16"/>
              </w:rPr>
              <w:t xml:space="preserve">Local disk / mock state</w:t>
            </w:r>
          </w:p>
        </w:tc>
      </w:tr>
    </w:tbl>
    <w:p>
      <w:pPr>
        <w:spacing w:after="240" w:before="100"/>
      </w:pPr>
      <w:r>
        <w:rPr>
          <w:i/>
          <w:iCs/>
          <w:color w:val="55636E"/>
          <w:sz w:val="19"/>
          <w:szCs w:val="19"/>
        </w:rPr>
        <w:t xml:space="preserve">Consumers only ever talk to the SDK's public API. The systems behind it can change without breaking anything that uses the SDK.</w:t>
      </w:r>
    </w:p>
    <w:p>
      <w:pPr>
        <w:pStyle w:val="Heading1"/>
        <w:pBdr>
          <w:bottom w:val="single" w:color="00867A" w:sz="6" w:space="4"/>
        </w:pBdr>
        <w:spacing w:after="140" w:before="360"/>
      </w:pPr>
      <w:r>
        <w:rPr>
          <w:b/>
          <w:bCs/>
          <w:color w:val="0F1C26"/>
          <w:sz w:val="26"/>
          <w:szCs w:val="26"/>
        </w:rPr>
        <w:t xml:space="preserve">Bottom line</w:t>
      </w:r>
    </w:p>
    <w:p>
      <w:pPr>
        <w:spacing w:after="160"/>
      </w:pPr>
      <w:r>
        <w:rPr>
          <w:color w:val="0F1C26"/>
          <w:sz w:val="21"/>
          <w:szCs w:val="21"/>
        </w:rPr>
        <w:t xml:space="preserve">The demo app, its login/upload pages, and the mock fault toggles would stay exactly as they are — they're the example that proves the SDK works. Only the plumbing currently scattered across app.py's imports would move behind one clean, reusable interface.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2026-09-08T17:26:11.855Z</dcterms:created>
  <dcterms:modified xsi:type="dcterms:W3CDTF">2026-09-08T17:26:11.873Z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