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left"/>
      </w:pPr>
      <w:r>
        <w:rPr>
          <w:b/>
          <w:bCs/>
          <w:color w:val="00776f"/>
          <w:sz w:val="26"/>
          <w:szCs w:val="26"/>
        </w:rPr>
        <w:t xml:space="preserve">FUNDAMENTALS BEHIND THE</w:t>
      </w:r>
    </w:p>
    <w:p>
      <w:pPr>
        <w:spacing w:after="120" w:before="120"/>
      </w:pPr>
      <w:r>
        <w:rPr>
          <w:b/>
          <w:bCs/>
          <w:color w:val="162835"/>
          <w:sz w:val="56"/>
          <w:szCs w:val="56"/>
        </w:rPr>
        <w:t xml:space="preserve">AIOps Virtual Agent</w:t>
      </w:r>
    </w:p>
    <w:p>
      <w:pPr>
        <w:spacing w:after="900"/>
      </w:pPr>
      <w:r>
        <w:rPr>
          <w:i/>
          <w:iCs/>
          <w:color w:val="55636e"/>
          <w:sz w:val="26"/>
          <w:szCs w:val="26"/>
        </w:rPr>
        <w:t xml:space="preserve">A reference guide to vectors, retrieval, and language models</w:t>
      </w:r>
    </w:p>
    <w:p>
      <w:pPr>
        <w:spacing w:after="60"/>
      </w:pPr>
      <w:r>
        <w:rPr>
          <w:color w:val="1b2733"/>
          <w:sz w:val="22"/>
          <w:szCs w:val="22"/>
        </w:rPr>
        <w:t xml:space="preserve">Prepared by Ramesh Muni</w:t>
      </w:r>
    </w:p>
    <w:p>
      <w:pPr>
        <w:spacing w:after="60"/>
      </w:pPr>
      <w:r>
        <w:rPr>
          <w:color w:val="55636e"/>
          <w:sz w:val="22"/>
          <w:szCs w:val="22"/>
        </w:rPr>
        <w:t xml:space="preserve">AIOps Modernization Initiative</w:t>
      </w:r>
    </w:p>
    <w:p>
      <w:pPr>
        <w:spacing w:after="200"/>
      </w:pPr>
      <w:r>
        <w:rPr>
          <w:color w:val="55636e"/>
          <w:sz w:val="22"/>
          <w:szCs w:val="22"/>
        </w:rPr>
        <w:t xml:space="preserve">September 5, 2026</w:t>
      </w:r>
    </w:p>
    <w:p>
      <w:r>
        <w:br w:type="page"/>
      </w:r>
    </w:p>
    <w:p>
      <w:pPr>
        <w:spacing w:after="200"/>
      </w:pPr>
      <w:r>
        <w:rPr>
          <w:b/>
          <w:bCs/>
          <w:color w:val="162835"/>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20"/>
      </w:pPr>
      <w:r>
        <w:t xml:space="preserve">1. What This Document Is</w:t>
      </w:r>
    </w:p>
    <w:p>
      <w:pPr>
        <w:spacing w:after="160" w:line="300"/>
        <w:jc w:val="left"/>
      </w:pPr>
      <w:r>
        <w:rPr>
          <w:color w:val="1b2733"/>
          <w:sz w:val="22"/>
          <w:szCs w:val="22"/>
        </w:rPr>
        <w:t xml:space="preserve">The AIOps Virtual Agent takes a new incident description, finds the past resolved incidents that look most similar, asks a language model to suggest a root cause and fix based on those matches, and then hands the suggestion to a person to confirm, correct, or reject. Nothing about that sentence is exotic once it's broken into its parts — but each part rests on an idea that's worth understanding properly rather than treating as a black box.</w:t>
      </w:r>
    </w:p>
    <w:p>
      <w:pPr>
        <w:spacing w:after="160" w:line="300"/>
        <w:jc w:val="left"/>
      </w:pPr>
      <w:r>
        <w:rPr>
          <w:color w:val="1b2733"/>
          <w:sz w:val="22"/>
          <w:szCs w:val="22"/>
        </w:rPr>
        <w:t xml:space="preserve">This document collects those ideas in one place, independent of any particular script, deploy step, or piece of debugging. It's meant to be read on its own, and revisited any time a concept needs refreshing — a fundamentals reference rather than a project log.</w:t>
      </w:r>
    </w:p>
    <w:p>
      <w:pPr>
        <w:pStyle w:val="Heading1"/>
        <w:spacing w:after="180" w:before="420"/>
      </w:pPr>
      <w:r>
        <w:t xml:space="preserve">2. The Core Idea: Retrieval-Augmented Generation</w:t>
      </w:r>
    </w:p>
    <w:p>
      <w:pPr>
        <w:spacing w:after="160" w:line="300"/>
        <w:jc w:val="left"/>
      </w:pPr>
      <w:r>
        <w:rPr>
          <w:color w:val="1b2733"/>
          <w:sz w:val="22"/>
          <w:szCs w:val="22"/>
        </w:rPr>
        <w:t xml:space="preserve">The system's real name for what it does is Retrieval-Augmented Generation, usually shortened to RAG. It's built from two halves that each do one job. Retrieval is the search step: given a new incident, find the handful of past incidents that are actually similar to it, out of everything that's ever been resolved. Generation is the writing step: hand those retrieved incidents to a language model and ask it to reason over them and produce a suggested root cause and resolution in plain language.</w:t>
      </w:r>
    </w:p>
    <w:p>
      <w:pPr>
        <w:spacing w:after="160" w:line="300"/>
        <w:jc w:val="left"/>
      </w:pPr>
      <w:r>
        <w:rPr>
          <w:color w:val="1b2733"/>
          <w:sz w:val="22"/>
          <w:szCs w:val="22"/>
        </w:rPr>
        <w:t xml:space="preserve">Splitting the problem this way solves two issues that a single approach can't. Plain keyword search — matching on shared words — misses the common case where two incidents describe the same underlying problem in different language: “robot froze” and “process became unresponsive” share no words at all, but they're the same issue. Retrieval based on meaning, not exact wording, catches that. On the other side, asking a language model to answer from memory alone would require it to have been trained specifically on this organization's incident history — expensive to arrange, and stale the moment a new incident type shows up. RAG sidesteps both problems: the model never needs to “know” anything about UiPath or ServiceNow in advance. It's handed the relevant facts directly, every time, as text in the prompt, and reasons over whatever it's given. That's called in-context learning, and it comes back in detail in Section 6 — it's the reason a comparatively small model is enough for this job, when it would clearly be too small to have memorized answers to everything.</w:t>
      </w:r>
    </w:p>
    <w:p>
      <w:pPr>
        <w:pBdr>
          <w:left w:val="single" w:color="00776f" w:sz="12" w:space="8"/>
        </w:pBdr>
        <w:spacing w:after="220" w:before="60" w:line="280"/>
        <w:ind w:left="360"/>
      </w:pPr>
      <w:r>
        <w:rPr>
          <w:i/>
          <w:iCs/>
          <w:color w:val="55636e"/>
          <w:sz w:val="20"/>
          <w:szCs w:val="20"/>
        </w:rPr>
        <w:t xml:space="preserve">Worth remembering: retrieval and generation are genuinely separate steps, done by separate systems. Section 3 through 5 cover retrieval — how text becomes something comparable, and how the closest matches get found. Section 6 covers generation — how the model actually turns those matches into an answer.</w:t>
      </w:r>
    </w:p>
    <w:p>
      <w:pPr>
        <w:pStyle w:val="Heading1"/>
        <w:spacing w:after="180" w:before="420"/>
      </w:pPr>
      <w:r>
        <w:t xml:space="preserve">3. Vectors and Embeddings</w:t>
      </w:r>
    </w:p>
    <w:p>
      <w:pPr>
        <w:pStyle w:val="Heading2"/>
        <w:spacing w:after="120" w:before="280"/>
      </w:pPr>
      <w:r>
        <w:t xml:space="preserve">What a vector actually is</w:t>
      </w:r>
    </w:p>
    <w:p>
      <w:pPr>
        <w:spacing w:after="160" w:line="300"/>
        <w:jc w:val="left"/>
      </w:pPr>
      <w:r>
        <w:rPr>
          <w:color w:val="1b2733"/>
          <w:sz w:val="22"/>
          <w:szCs w:val="22"/>
        </w:rPr>
        <w:t xml:space="preserve">Imagine describing a movie with three numbers: how much action it has, how much comedy, how much romance, each on a scale of 0 to 10. Die Hard might be [9, 2, 1]. The Hangover might be [3, 9, 2]. Two movies with similar numbers are similar movies, and “how similar” becomes something you can actually measure, just by seeing how close those number triplets sit to each other.</w:t>
      </w:r>
    </w:p>
    <w:p>
      <w:pPr>
        <w:spacing w:after="160" w:line="300"/>
        <w:jc w:val="left"/>
      </w:pPr>
      <w:r>
        <w:rPr>
          <w:color w:val="1b2733"/>
          <w:sz w:val="22"/>
          <w:szCs w:val="22"/>
        </w:rPr>
        <w:t xml:space="preserve">An embedding is the same idea, scaled up. Instead of three hand-picked categories, it's hundreds of numbers — 384 for a small local model, 768 for the truncated Gemini embedding this project uses. And instead of a human deciding what each number means, a neural network learned what set of measurements best captures the meaning of a sentence, by training on a huge number of example sentences. No one ever inspects what “dimension 217” means on its own — it isn't interpretable to a human reading it directly — but the model learned that sentences with similar meaning land close together across all of those dimensions at once.</w:t>
      </w:r>
    </w:p>
    <w:p>
      <w:pPr>
        <w:pStyle w:val="Heading2"/>
        <w:spacing w:after="120" w:before="280"/>
      </w:pPr>
      <w:r>
        <w:t xml:space="preserve">How text actually becomes a vector</w:t>
      </w:r>
    </w:p>
    <w:p>
      <w:pPr>
        <w:spacing w:after="160" w:line="300"/>
        <w:jc w:val="left"/>
      </w:pPr>
      <w:r>
        <w:rPr>
          <w:color w:val="1b2733"/>
          <w:sz w:val="22"/>
          <w:szCs w:val="22"/>
        </w:rPr>
        <w:t xml:space="preserve">The path from a sentence to a vector runs through a few concrete steps, and they're the same steps whether the model runs on a laptop or gets called over the network. First, tokenization breaks the sentence into subword pieces rather than whole words — “unresponsive” might become “un” + “respons” + “ive”. This lets the model handle words it's never seen as a whole unit, by recognizing familiar fragments. Each token then gets an initial vector from a learned lookup table, and those vectors get updated layer by layer based on the other tokens around them — this is the mechanism that lets “crash” in “robot crash” end up meaning something different from “crash” in “market crash”, because the surrounding words shape it. Finally, all of the per-token vectors get averaged (or otherwise combined) into one single vector representing the whole sentence — that single vector is what actually gets stored and compared.</w:t>
      </w:r>
    </w:p>
    <w:p>
      <w:pPr>
        <w:spacing w:after="160" w:line="300"/>
        <w:jc w:val="left"/>
      </w:pPr>
      <w:r>
        <w:rPr>
          <w:color w:val="1b2733"/>
          <w:sz w:val="22"/>
          <w:szCs w:val="22"/>
        </w:rPr>
        <w:t xml:space="preserve">The important thing to hold onto is that this model was already fully trained by its creators, on a huge number of sentence pairs, specifically so that sentences with similar meaning land close together in this numeric space. Using it to embed an incident description is not training anything — it's inference: text goes in, a vector comes out. That's exactly why it works immediately on incident text it's never seen a single example of before: it learned general language similarity during training, not this organization's specific domain, and general language similarity is already enough to recognize that “robot crashed mid-transaction” and “robot stopped responding during a run” are related.</w:t>
      </w:r>
    </w:p>
    <w:p>
      <w:pPr>
        <w:pStyle w:val="Heading1"/>
        <w:spacing w:after="180" w:before="420"/>
      </w:pPr>
      <w:r>
        <w:t xml:space="preserve">4. From a Local Model to a Hosted Embedding API</w:t>
      </w:r>
    </w:p>
    <w:p>
      <w:pPr>
        <w:spacing w:after="160" w:line="300"/>
        <w:jc w:val="left"/>
      </w:pPr>
      <w:r>
        <w:rPr>
          <w:color w:val="1b2733"/>
          <w:sz w:val="22"/>
          <w:szCs w:val="22"/>
        </w:rPr>
        <w:t xml:space="preserve">This project's embedding step moved, over time, from a small model running locally to Gemini's hosted embedding model, gemini-embedding-2, called over the network through the same client library already used for the reasoning step. Structurally the two are almost the same shape — text in, vector out, with a cached client rather than one rebuilt per call — but two real differences matter.</w:t>
      </w:r>
    </w:p>
    <w:p>
      <w:pPr>
        <w:spacing w:after="160" w:line="300"/>
        <w:jc w:val="left"/>
      </w:pPr>
      <w:r>
        <w:rPr>
          <w:color w:val="1b2733"/>
          <w:sz w:val="22"/>
          <w:szCs w:val="22"/>
        </w:rPr>
        <w:t xml:space="preserve">The first is where the computation happens. A local model runs entirely on the machine that calls it: no network round trip, no per-call latency, works offline, and the text never leaves the machine. Calling a hosted embedding API means every single embed is an HTTPS request to Google's servers, subject to network latency and rate limits, and the incident text leaves local infrastructure on every call. That's a deliberate trade-off, accepted here for the same reason it was already accepted for the reasoning step: no server to run or maintain for hosting a model.</w:t>
      </w:r>
    </w:p>
    <w:p>
      <w:pPr>
        <w:spacing w:after="160" w:line="300"/>
        <w:jc w:val="left"/>
      </w:pPr>
      <w:r>
        <w:rPr>
          <w:color w:val="1b2733"/>
          <w:sz w:val="22"/>
          <w:szCs w:val="22"/>
        </w:rPr>
        <w:t xml:space="preserve">The second is dimension count. A small local model like all-MiniLM-L6-v2 always outputs exactly 384 numbers. Gemini's embedding model defaults to 3072, but is explicitly designed to be truncated to smaller sizes — 768, 1536, or 3072 are the documented options, and truncated output gets automatically re-normalized to unit length. Whatever size gets chosen, it has to stay fixed and identical for every single vector that's ever compared — the corpus embeddings and an incoming query embedding must come from the same model at the same dimension, or “closest vector” stops meaning anything at all. Mixing 384-dimension vectors from one model with 768-dimension vectors from another isn't just inaccurate, it's not even a valid comparison — the numbers don't correspond to the same measurements.</w:t>
      </w:r>
    </w:p>
    <w:p>
      <w:pPr>
        <w:pStyle w:val="Heading2"/>
        <w:spacing w:after="120" w:before="280"/>
      </w:pPr>
      <w:r>
        <w:t xml:space="preserve">Why the same model treats a corpus record and a query differently</w:t>
      </w:r>
    </w:p>
    <w:p>
      <w:pPr>
        <w:spacing w:after="160" w:line="300"/>
        <w:jc w:val="left"/>
      </w:pPr>
      <w:r>
        <w:rPr>
          <w:color w:val="1b2733"/>
          <w:sz w:val="22"/>
          <w:szCs w:val="22"/>
        </w:rPr>
        <w:t xml:space="preserve">One detail is easy to miss: this project asks Gemini's embedding model to treat a resolved incident already sitting in the corpus differently from a brand-new incident being searched for, even though both pass through the exact same model. A resolved incident gets embedded as something that will be searched for (a “retrieval document”), while a new incident gets embedded as something doing the searching (a “retrieval query”). This asymmetry exists because the embedding model was trained knowing which side of a search each piece of text sits on, and it produces measurably better matches when it's told which side applies here, rather than treating a question and an answer identically just because they're both “text”.</w:t>
      </w:r>
    </w:p>
    <w:p>
      <w:pPr>
        <w:pStyle w:val="Heading1"/>
        <w:spacing w:after="180" w:before="420"/>
      </w:pPr>
      <w:r>
        <w:t xml:space="preserve">5. Finding the Nearest Vectors: From a Local Index to a Warehouse Query</w:t>
      </w:r>
    </w:p>
    <w:p>
      <w:pPr>
        <w:pStyle w:val="Heading2"/>
        <w:spacing w:after="120" w:before="280"/>
      </w:pPr>
      <w:r>
        <w:t xml:space="preserve">What a local vector index actually does</w:t>
      </w:r>
    </w:p>
    <w:p>
      <w:pPr>
        <w:spacing w:after="160" w:line="300"/>
        <w:jc w:val="left"/>
      </w:pPr>
      <w:r>
        <w:rPr>
          <w:color w:val="1b2733"/>
          <w:sz w:val="22"/>
          <w:szCs w:val="22"/>
        </w:rPr>
        <w:t xml:space="preserve">A library built purely for nearest-neighbor search — FAISS is the well-known example — only ever sees arrays of numbers. It has no idea what an “incident” is and no concept of text at all; it exists purely to store vectors and find the ones nearest to a query vector, quickly. A flat index adds no clever internal structure at all — it's a plain list of every vector added, in the order it was added — and searching it means computing the distance from the query to every single stored vector, sorting by distance, and returning the closest handful. At a few dozen or a few hundred stored vectors, checking every single one is still instant; it only becomes a real bottleneck at millions of vectors, which is the point where more elaborate structures earn their complexity.</w:t>
      </w:r>
    </w:p>
    <w:p>
      <w:pPr>
        <w:spacing w:after="160" w:line="300"/>
        <w:jc w:val="left"/>
      </w:pPr>
      <w:r>
        <w:rPr>
          <w:color w:val="1b2733"/>
          <w:sz w:val="22"/>
          <w:szCs w:val="22"/>
        </w:rPr>
        <w:t xml:space="preserve">The distance measure a flat index like this uses by default is typically Euclidean distance — literally the Pythagorean theorem extended from two dimensions to however many the vector has: the square root of the sum of the squared difference in each dimension. A smaller number means the two vectors are more similar. Because a library like this only ever returns positions — which stored vector was closest, not what that vector actually represents — it always needs a separate lookup structure alongside it, mapping each position back to the real incident text, ID, and description. The vectors and the meaning they represent are two different files that have to be kept in lockstep.</w:t>
      </w:r>
    </w:p>
    <w:p>
      <w:pPr>
        <w:pStyle w:val="Heading2"/>
        <w:spacing w:after="120" w:before="280"/>
      </w:pPr>
      <w:r>
        <w:t xml:space="preserve">Why a data warehouse replaces that entirely at this scale</w:t>
      </w:r>
    </w:p>
    <w:p>
      <w:pPr>
        <w:spacing w:after="160" w:line="300"/>
        <w:jc w:val="left"/>
      </w:pPr>
      <w:r>
        <w:rPr>
          <w:color w:val="1b2733"/>
          <w:sz w:val="22"/>
          <w:szCs w:val="22"/>
        </w:rPr>
        <w:t xml:space="preserve">BigQuery's VECTOR_SEARCH does the same fundamental job — find the closest stored vectors to a query vector — but the vectors live as a normal column in a normal table instead of a binary file loaded into memory, and the search runs as a SQL function instead of a library call. That one change removes an entire category of operational problem: there's no index file to bake into a deployable container, and no “rebuild and redeploy the whole service” step just to add newly resolved incidents to the searchable set. Refreshing the corpus becomes a normal data load into a table.</w:t>
      </w:r>
    </w:p>
    <w:p>
      <w:pPr>
        <w:spacing w:after="160" w:line="300"/>
        <w:jc w:val="left"/>
      </w:pPr>
      <w:r>
        <w:rPr>
          <w:color w:val="1b2733"/>
          <w:sz w:val="22"/>
          <w:szCs w:val="22"/>
        </w:rPr>
        <w:t xml:space="preserve">BigQuery does support building an approximate-nearest-neighbor index for speed at real scale, but without one, it falls back to brute force: it checks every row and returns exact, not approximate, results — precisely what a flat local index already did. At a corpus of dozens to a few hundred incidents, that's the right call: skipping the extra index is one fewer resource to create, tune, or explain, and it costs nothing in accuracy or noticeable speed at this size.</w:t>
      </w:r>
    </w:p>
    <w:p>
      <w:pPr>
        <w:pStyle w:val="Heading2"/>
        <w:spacing w:after="120" w:before="280"/>
      </w:pPr>
      <w:r>
        <w:t xml:space="preserve">Why cosine similarity, specifically</w:t>
      </w:r>
    </w:p>
    <w:p>
      <w:pPr>
        <w:spacing w:after="160" w:line="300"/>
        <w:jc w:val="left"/>
      </w:pPr>
      <w:r>
        <w:rPr>
          <w:color w:val="1b2733"/>
          <w:sz w:val="22"/>
          <w:szCs w:val="22"/>
        </w:rPr>
        <w:t xml:space="preserve">The distance measure matters here in a way that isn't just a naming preference. Gemini's embedding model is explicitly documented as producing unit-normalized vectors — every vector, whether the full output size or a truncated one, gets scaled to the same length. Cosine similarity measures the angle between two vectors — their direction — rather than Euclidean distance, which also picks up differences in vector length that don't actually correspond to “less similar meaning” for this kind of embedding. Cosine is the more correct choice for vectors that are already normalized, not just a swap-in replacement for whatever a different library happened to default to.</w:t>
      </w:r>
    </w:p>
    <w:p>
      <w:pPr>
        <w:spacing w:after="160" w:line="300"/>
        <w:jc w:val="left"/>
      </w:pPr>
      <w:r>
        <w:rPr>
          <w:color w:val="1b2733"/>
          <w:sz w:val="22"/>
          <w:szCs w:val="22"/>
        </w:rPr>
        <w:t xml:space="preserve">A related detail worth knowing: for vectors that are already unit length, cosine similarity and a plain dot product produce the exact same ranking — a dot product of two unit vectors is mathematically identical to their cosine similarity, just without an extra normalization step performed internally. Since these embeddings are normalized either way, both would return the same top matches in the same order here. Cosine is still the better choice to write down explicitly, because it stays correct even if a future embedding model isn't pre-normalized, whereas a bare dot product would silently start producing the wrong ranking the moment that assumption stopped holding — it's self-documenting about what's actually being compared.</w:t>
      </w:r>
    </w:p>
    <w:p>
      <w:pPr>
        <w:pStyle w:val="Heading1"/>
        <w:spacing w:after="180" w:before="420"/>
      </w:pPr>
      <w:r>
        <w:t xml:space="preserve">6. How a Language Model Actually Generates an Answer</w:t>
      </w:r>
    </w:p>
    <w:p>
      <w:pPr>
        <w:pStyle w:val="Heading2"/>
        <w:spacing w:after="120" w:before="280"/>
      </w:pPr>
      <w:r>
        <w:t xml:space="preserve">Tokens and next-token prediction</w:t>
      </w:r>
    </w:p>
    <w:p>
      <w:pPr>
        <w:spacing w:after="160" w:line="300"/>
        <w:jc w:val="left"/>
      </w:pPr>
      <w:r>
        <w:rPr>
          <w:color w:val="1b2733"/>
          <w:sz w:val="22"/>
          <w:szCs w:val="22"/>
        </w:rPr>
        <w:t xml:space="preserve">A language model's entire job, at its core, is simple to state: given the text so far, predict the single most likely next token, append it, and predict the next one again — over and over. That repeated, one-token-at-a-time process is called autoregressive generation, and every answer this system produces was built this way, one token at a time, not written all at once. Tokens aren't whole words, following the same subword idea covered in Section 3 — which is exactly why a model can handle typos, rare words, or invented terms reasonably well, since it's working with familiar fragments even when the whole word is new to it.</w:t>
      </w:r>
    </w:p>
    <w:p>
      <w:pPr>
        <w:spacing w:after="160" w:line="300"/>
        <w:jc w:val="left"/>
      </w:pPr>
      <w:r>
        <w:rPr>
          <w:color w:val="1b2733"/>
          <w:sz w:val="22"/>
          <w:szCs w:val="22"/>
        </w:rPr>
        <w:t xml:space="preserve">Where does a model's “knowledge” actually live? Not in any database or lookup table it can query — in billions of numeric parameters, adjusted during training so that, statistically, the right next token becomes the most probable one given everything that's come before in the conversation.</w:t>
      </w:r>
    </w:p>
    <w:p>
      <w:pPr>
        <w:pStyle w:val="Heading2"/>
        <w:spacing w:after="120" w:before="280"/>
      </w:pPr>
      <w:r>
        <w:t xml:space="preserve">Attention, in plain terms</w:t>
      </w:r>
    </w:p>
    <w:p>
      <w:pPr>
        <w:spacing w:after="160" w:line="300"/>
        <w:jc w:val="left"/>
      </w:pPr>
      <w:r>
        <w:rPr>
          <w:color w:val="1b2733"/>
          <w:sz w:val="22"/>
          <w:szCs w:val="22"/>
        </w:rPr>
        <w:t xml:space="preserve">Take the sentence: “The robot crashed during the transaction — what caused it?” For a model to answer sensibly, the word “it” needs to connect back to “crashed”, not to “transaction” or “robot”. That connecting mechanism is called attention: for every token being processed, the model computes how much it should weigh every other token in the input, and blends information accordingly. This is the mechanism introduced by the transformer architecture that every modern language model — and the embedding model from Section 3 — is built on. “Self-attention” specifically means each token attends to other tokens within the same input, which is what lets a model track what a pronoun refers to across a whole paragraph, or relate a brand-new incident's wording to the relevant parts of a retrieved past incident, without anyone writing a rule about which words matter.</w:t>
      </w:r>
    </w:p>
    <w:p>
      <w:pPr>
        <w:pStyle w:val="Heading2"/>
        <w:spacing w:after="120" w:before="280"/>
      </w:pPr>
      <w:r>
        <w:t xml:space="preserve">Why retrieval plus a model works without any training at all</w:t>
      </w:r>
    </w:p>
    <w:p>
      <w:pPr>
        <w:spacing w:after="160" w:line="300"/>
        <w:jc w:val="left"/>
      </w:pPr>
      <w:r>
        <w:rPr>
          <w:color w:val="1b2733"/>
          <w:sz w:val="22"/>
          <w:szCs w:val="22"/>
        </w:rPr>
        <w:t xml:space="preserve">This connects directly back to Section 2. The incidents retrieved from BigQuery become part of the context the model attends to when it generates an answer — the model isn't recalling facts about this organization from memory, it's reading them fresh, right there in the prompt, and using attention to relate the new incident's wording to the relevant parts of that provided text. This is called in-context learning: using information supplied directly in the prompt, with no weight updates and no training step involved at all. It's also exactly why a comparatively small model is enough for this particular job, when it would clearly be too small to “know everything” the way a much larger model trained on far more data might. The model doesn't need to know about incident management systems or automation platforms in advance — it just needs strong enough general language understanding and attention to reason over a few hundred words of text handed to it directly. That's a dramatically lower bar than having domain knowledge baked into its weights, and it's the whole reason this architecture — a general-purpose model plus retrieval — is a deliberate design choice, not a compromise for a weaker model.</w:t>
      </w:r>
    </w:p>
    <w:p>
      <w:pPr>
        <w:pStyle w:val="Heading2"/>
        <w:spacing w:after="120" w:before="280"/>
      </w:pPr>
      <w:r>
        <w:t xml:space="preserve">Two different jobs, two different models</w:t>
      </w:r>
    </w:p>
    <w:p>
      <w:pPr>
        <w:spacing w:after="160" w:line="300"/>
        <w:jc w:val="left"/>
      </w:pPr>
      <w:r>
        <w:rPr>
          <w:color w:val="1b2733"/>
          <w:sz w:val="22"/>
          <w:szCs w:val="22"/>
        </w:rPr>
        <w:t xml:space="preserve">It's worth being explicit that the embedding model and the reasoning model are not the same tool used twice. The embedding model's only job is turning text into a vector that can be compared to other vectors — it never generates language, and it isn't used for reasoning. The reasoning model's job is understanding and generating text — it's not built or used for similarity search. Both are built on the same underlying transformer architecture and both are reasonably called “AI”, but using one in place of the other would be like using a ruler to also try to cook a meal: both are legitimate tools, built for entirely different purposes.</w:t>
      </w:r>
    </w:p>
    <w:p>
      <w:pPr>
        <w:pStyle w:val="Heading1"/>
        <w:spacing w:after="180" w:before="420"/>
      </w:pPr>
      <w:r>
        <w:t xml:space="preserve">7. Human-in-the-Loop: Why Nothing Auto-Applies</w:t>
      </w:r>
    </w:p>
    <w:p>
      <w:pPr>
        <w:spacing w:after="160" w:line="300"/>
        <w:jc w:val="left"/>
      </w:pPr>
      <w:r>
        <w:rPr>
          <w:color w:val="1b2733"/>
          <w:sz w:val="22"/>
          <w:szCs w:val="22"/>
        </w:rPr>
        <w:t xml:space="preserve">Every suggestion this system produces — the retrieved matches and the model's reasoning about which one applies — is a suggestion, never a final answer. A person always confirms it, corrects it to a different past incident, or rejects all of them and escalates to a developer instead. That verdict gets logged alongside the original incident text, the matches that were retrieved, and what the model suggested, whether or not a person agreed with it.</w:t>
      </w:r>
    </w:p>
    <w:p>
      <w:pPr>
        <w:spacing w:after="160" w:line="300"/>
        <w:jc w:val="left"/>
      </w:pPr>
      <w:r>
        <w:rPr>
          <w:color w:val="1b2733"/>
          <w:sz w:val="22"/>
          <w:szCs w:val="22"/>
        </w:rPr>
        <w:t xml:space="preserve">This design matters for a reason beyond caution. A wrong root-cause suggestion acted on automatically in a support context has real cost, and retrieval-plus-reasoning, however good, is a probabilistic process — it narrows a large set of past incidents down to a small, likely-relevant set, but “likely relevant” is not the same claim as “correct”. Keeping a human as the actual decision-maker is what allows this system to be trusted with a real production incident from day one, rather than needing a long, separate validation phase before anyone lets it near real work.</w:t>
      </w:r>
    </w:p>
    <w:p>
      <w:pPr>
        <w:spacing w:after="160" w:line="300"/>
        <w:jc w:val="left"/>
      </w:pPr>
      <w:r>
        <w:rPr>
          <w:color w:val="1b2733"/>
          <w:sz w:val="22"/>
          <w:szCs w:val="22"/>
        </w:rPr>
        <w:t xml:space="preserve">The logged verdicts are also the seed of what comes next. As confirmed, corrected, and rejected judgments accumulate, they become a record of exactly where the system is reliable and where it isn't — which is the actual prerequisite for eventually shifting from confirming every single answer (human-in-the-loop) to spot-checking only the answers the system is least confident about (human-on-the-loop). That's a real, deliberate next stage, not a hand-wave — but it only becomes possible once there's enough logged, verified judgment to know where the boundary between “reliable” and “needs a second look” actually sits.</w:t>
      </w:r>
    </w:p>
    <w:p>
      <w:pPr>
        <w:pStyle w:val="Heading1"/>
        <w:spacing w:after="180" w:before="420"/>
      </w:pPr>
      <w:r>
        <w:t xml:space="preserve">8. Supporting Engineering Concepts</w:t>
      </w:r>
    </w:p>
    <w:p>
      <w:pPr>
        <w:pStyle w:val="Heading2"/>
        <w:spacing w:after="120" w:before="280"/>
      </w:pPr>
      <w:r>
        <w:t xml:space="preserve">Rate limiting and exponential backoff</w:t>
      </w:r>
    </w:p>
    <w:p>
      <w:pPr>
        <w:spacing w:after="160" w:line="300"/>
        <w:jc w:val="left"/>
      </w:pPr>
      <w:r>
        <w:rPr>
          <w:color w:val="1b2733"/>
          <w:sz w:val="22"/>
          <w:szCs w:val="22"/>
        </w:rPr>
        <w:t xml:space="preserve">Any hosted API that serves many callers has to protect itself from being overwhelmed, and it does that by rejecting requests that come in too fast — commonly returned as an HTTP 429, “too many requests”. The reliable way to handle that is not to retry immediately (which just trips the same limit again), but to wait, retry, and if it fails again, wait noticeably longer before the next attempt — doubling the delay each time. That pattern is called exponential backoff, and paired with pacing calls apart from each other in the first place, it's what makes calling a rate-limited API from a batch job reliable instead of something that randomly fails partway through.</w:t>
      </w:r>
    </w:p>
    <w:p>
      <w:pPr>
        <w:pStyle w:val="Heading2"/>
        <w:spacing w:after="120" w:before="280"/>
      </w:pPr>
      <w:r>
        <w:t xml:space="preserve">Why batching API calls isn't automatically an optimization</w:t>
      </w:r>
    </w:p>
    <w:p>
      <w:pPr>
        <w:spacing w:after="160" w:line="300"/>
        <w:jc w:val="left"/>
      </w:pPr>
      <w:r>
        <w:rPr>
          <w:color w:val="1b2733"/>
          <w:sz w:val="22"/>
          <w:szCs w:val="22"/>
        </w:rPr>
        <w:t xml:space="preserve">It's tempting to combine many pieces of text into a single API call to cut down on the total number of round trips — and for many models, that's a perfectly supported, faster pattern. It is not automatically safe to assume, though, for every model and every API: some embedding models have been observed to silently return an empty or garbage result for most items in a batch, without raising any error at all, while returning a real result for only one or two. A batch call that returns successfully is not, by itself, proof that every item in it was actually processed correctly — the response has to be checked item by item, and if the shape looks wrong (an empty vector where a real one was expected), that has to be treated as a failure worth retrying, not silently accepted. One call per item is slower, but only actually correct behavior is worth trading speed for.</w:t>
      </w:r>
    </w:p>
    <w:p>
      <w:pPr>
        <w:pStyle w:val="Heading2"/>
        <w:spacing w:after="120" w:before="280"/>
      </w:pPr>
      <w:r>
        <w:t xml:space="preserve">Idempotency and data hygiene</w:t>
      </w:r>
    </w:p>
    <w:p>
      <w:pPr>
        <w:spacing w:after="160" w:line="300"/>
        <w:jc w:val="left"/>
      </w:pPr>
      <w:r>
        <w:rPr>
          <w:color w:val="1b2733"/>
          <w:sz w:val="22"/>
          <w:szCs w:val="22"/>
        </w:rPr>
        <w:t xml:space="preserve">A script is idempotent if running it twice produces the same end state as running it once. A script that creates new records every time it runs, with no check for “does this already exist”, is not idempotent — running it a second time doesn't update anything, it just adds a second copy of everything alongside the first. That's a common, easy mistake in a one-off data-seeding script, and it's exactly what silently doubles a dataset if the same script gets run more than once without anyone noticing. The fix, once it's happened, is a deliberate de-duplication pass: group records by whatever combination of fields should be unique, keep one canonical copy of each group, and remove only the extras — never a blanket delete of everything, which would just as easily remove data that was never duplicated in the first place.</w:t>
      </w:r>
    </w:p>
    <w:p>
      <w:pPr>
        <w:pStyle w:val="Heading2"/>
        <w:spacing w:after="120" w:before="280"/>
      </w:pPr>
      <w:r>
        <w:t xml:space="preserve">Batch jobs versus always-on services</w:t>
      </w:r>
    </w:p>
    <w:p>
      <w:pPr>
        <w:spacing w:after="160" w:line="300"/>
        <w:jc w:val="left"/>
      </w:pPr>
      <w:r>
        <w:rPr>
          <w:color w:val="1b2733"/>
          <w:sz w:val="22"/>
          <w:szCs w:val="22"/>
        </w:rPr>
        <w:t xml:space="preserve">Two different hosting shapes serve two different purposes. An always-on service is built to keep running and answer requests as they arrive — a web application serving a chat interface is a textbook example. A job is built to run to completion once and then stop — appropriate for a task like “re-fetch everything and rebuild a table”, which has a clear beginning, a clear end, and no reason to stay running afterward. Using the right shape for each task matters operationally: refreshing a dataset as a job, separate from the always-on service that answers user requests, means the data can be refreshed on demand without ever redeploying or interrupting the service people are actively using.</w:t>
      </w:r>
    </w:p>
    <w:p>
      <w:pPr>
        <w:pStyle w:val="Heading2"/>
        <w:spacing w:after="120" w:before="280"/>
      </w:pPr>
      <w:r>
        <w:t xml:space="preserve">Keeping credentials out of the deployable artifact</w:t>
      </w:r>
    </w:p>
    <w:p>
      <w:pPr>
        <w:spacing w:after="160" w:line="300"/>
        <w:jc w:val="left"/>
      </w:pPr>
      <w:r>
        <w:rPr>
          <w:color w:val="1b2733"/>
          <w:sz w:val="22"/>
          <w:szCs w:val="22"/>
        </w:rPr>
        <w:t xml:space="preserve">Credentials — a password, an API key — are treated differently from the rest of a project's code specifically because a deployable image or a source repository is something that gets copied, archived, and potentially shared far more casually than anyone shipping it usually intends. Storing secrets in a dedicated secrets service and injecting them into a running process at start time, rather than writing them into a file that gets built into an image, means a credential can be rotated without rebuilding anything, and a copy of the built artifact or the source code never contains anything sensitive at all.</w:t>
      </w:r>
    </w:p>
    <w:p>
      <w:pPr>
        <w:pStyle w:val="Heading1"/>
        <w:spacing w:after="180" w:before="420"/>
      </w:pPr>
      <w:r>
        <w:t xml:space="preserve">9. Quick-Reference Glossary</w:t>
      </w:r>
    </w:p>
    <w:p>
      <w:pPr>
        <w:spacing w:after="160" w:line="300"/>
        <w:jc w:val="left"/>
      </w:pPr>
      <w:r>
        <w:rPr>
          <w:color w:val="1b2733"/>
          <w:sz w:val="22"/>
          <w:szCs w:val="22"/>
        </w:rPr>
        <w:t xml:space="preserve">A short, plain-English lookup for the terms used throughout this document.</w:t>
      </w:r>
    </w:p>
    <w:tbl>
      <w:tblPr>
        <w:tblW w:type="dxa" w:w="9000"/>
        <w:tblBorders>
          <w:top w:val="single" w:color="c8d0d6" w:sz="4"/>
          <w:left w:val="single" w:color="c8d0d6" w:sz="4"/>
          <w:bottom w:val="single" w:color="c8d0d6" w:sz="4"/>
          <w:right w:val="single" w:color="c8d0d6" w:sz="4"/>
          <w:insideH w:val="single" w:color="c8d0d6" w:sz="4"/>
          <w:insideV w:val="single" w:color="c8d0d6" w:sz="4"/>
        </w:tblBorders>
      </w:tblPr>
      <w:tblGrid>
        <w:gridCol w:w="2500"/>
        <w:gridCol w:w="6500"/>
      </w:tblGrid>
      <w:tr>
        <w:tc>
          <w:tcPr>
            <w:tcW w:type="dxa" w:w="2500"/>
            <w:shd w:fill="162835" w:val="clear"/>
            <w:tcMar>
              <w:top w:type="dxa" w:w="100"/>
              <w:left w:type="dxa" w:w="120"/>
              <w:bottom w:type="dxa" w:w="100"/>
              <w:right w:type="dxa" w:w="120"/>
            </w:tcMar>
          </w:tcPr>
          <w:p>
            <w:r>
              <w:rPr>
                <w:b/>
                <w:bCs/>
                <w:color w:val="FFFFFF"/>
                <w:sz w:val="20"/>
                <w:szCs w:val="20"/>
              </w:rPr>
              <w:t xml:space="preserve">Term</w:t>
            </w:r>
          </w:p>
        </w:tc>
        <w:tc>
          <w:tcPr>
            <w:tcW w:type="dxa" w:w="6500"/>
            <w:shd w:fill="162835" w:val="clear"/>
            <w:tcMar>
              <w:top w:type="dxa" w:w="100"/>
              <w:left w:type="dxa" w:w="120"/>
              <w:bottom w:type="dxa" w:w="100"/>
              <w:right w:type="dxa" w:w="120"/>
            </w:tcMar>
          </w:tcPr>
          <w:p>
            <w:r>
              <w:rPr>
                <w:b/>
                <w:bCs/>
                <w:color w:val="FFFFFF"/>
                <w:sz w:val="20"/>
                <w:szCs w:val="20"/>
              </w:rPr>
              <w:t xml:space="preserve">Plain-English meaning</w:t>
            </w:r>
          </w:p>
        </w:tc>
      </w:tr>
      <w:tr>
        <w:tc>
          <w:tcPr>
            <w:tcW w:type="dxa" w:w="2500"/>
            <w:shd w:fill="FFFFFF" w:val="clear"/>
            <w:tcMar>
              <w:top w:type="dxa" w:w="100"/>
              <w:left w:type="dxa" w:w="120"/>
              <w:bottom w:type="dxa" w:w="100"/>
              <w:right w:type="dxa" w:w="120"/>
            </w:tcMar>
          </w:tcPr>
          <w:p>
            <w:r>
              <w:rPr>
                <w:b/>
                <w:bCs/>
                <w:color w:val="162835"/>
                <w:sz w:val="20"/>
                <w:szCs w:val="20"/>
              </w:rPr>
              <w:t xml:space="preserve">Vector / embedding</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list of numbers that represents the meaning of a piece of text, produced by a trained model.</w:t>
            </w:r>
          </w:p>
        </w:tc>
      </w:tr>
      <w:tr>
        <w:tc>
          <w:tcPr>
            <w:tcW w:type="dxa" w:w="2500"/>
            <w:shd w:fill="FFFFFF" w:val="clear"/>
            <w:tcMar>
              <w:top w:type="dxa" w:w="100"/>
              <w:left w:type="dxa" w:w="120"/>
              <w:bottom w:type="dxa" w:w="100"/>
              <w:right w:type="dxa" w:w="120"/>
            </w:tcMar>
          </w:tcPr>
          <w:p>
            <w:r>
              <w:rPr>
                <w:b/>
                <w:bCs/>
                <w:color w:val="162835"/>
                <w:sz w:val="20"/>
                <w:szCs w:val="20"/>
              </w:rPr>
              <w:t xml:space="preserve">Cosine similarity</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way of comparing two vectors by the angle between them (direction), rather than their distance apart — the right fit for vectors that are all the same length.</w:t>
            </w:r>
          </w:p>
        </w:tc>
      </w:tr>
      <w:tr>
        <w:tc>
          <w:tcPr>
            <w:tcW w:type="dxa" w:w="2500"/>
            <w:shd w:fill="FFFFFF" w:val="clear"/>
            <w:tcMar>
              <w:top w:type="dxa" w:w="100"/>
              <w:left w:type="dxa" w:w="120"/>
              <w:bottom w:type="dxa" w:w="100"/>
              <w:right w:type="dxa" w:w="120"/>
            </w:tcMar>
          </w:tcPr>
          <w:p>
            <w:r>
              <w:rPr>
                <w:b/>
                <w:bCs/>
                <w:color w:val="162835"/>
                <w:sz w:val="20"/>
                <w:szCs w:val="20"/>
              </w:rPr>
              <w:t xml:space="preserve">Token</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word or word-fragment — the actual unit a language or embedding model reads and writes, one piece at a time.</w:t>
            </w:r>
          </w:p>
        </w:tc>
      </w:tr>
      <w:tr>
        <w:tc>
          <w:tcPr>
            <w:tcW w:type="dxa" w:w="2500"/>
            <w:shd w:fill="FFFFFF" w:val="clear"/>
            <w:tcMar>
              <w:top w:type="dxa" w:w="100"/>
              <w:left w:type="dxa" w:w="120"/>
              <w:bottom w:type="dxa" w:w="100"/>
              <w:right w:type="dxa" w:w="120"/>
            </w:tcMar>
          </w:tcPr>
          <w:p>
            <w:r>
              <w:rPr>
                <w:b/>
                <w:bCs/>
                <w:color w:val="162835"/>
                <w:sz w:val="20"/>
                <w:szCs w:val="20"/>
              </w:rPr>
              <w:t xml:space="preserve">Attention</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The mechanism that lets a model weigh how much every other word in the input matters when interpreting or generating one word.</w:t>
            </w:r>
          </w:p>
        </w:tc>
      </w:tr>
      <w:tr>
        <w:tc>
          <w:tcPr>
            <w:tcW w:type="dxa" w:w="2500"/>
            <w:shd w:fill="FFFFFF" w:val="clear"/>
            <w:tcMar>
              <w:top w:type="dxa" w:w="100"/>
              <w:left w:type="dxa" w:w="120"/>
              <w:bottom w:type="dxa" w:w="100"/>
              <w:right w:type="dxa" w:w="120"/>
            </w:tcMar>
          </w:tcPr>
          <w:p>
            <w:r>
              <w:rPr>
                <w:b/>
                <w:bCs/>
                <w:color w:val="162835"/>
                <w:sz w:val="20"/>
                <w:szCs w:val="20"/>
              </w:rPr>
              <w:t xml:space="preserve">Autoregressive generation</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Producing text one token at a time, each new token chosen based on everything generated so far.</w:t>
            </w:r>
          </w:p>
        </w:tc>
      </w:tr>
      <w:tr>
        <w:tc>
          <w:tcPr>
            <w:tcW w:type="dxa" w:w="2500"/>
            <w:shd w:fill="FFFFFF" w:val="clear"/>
            <w:tcMar>
              <w:top w:type="dxa" w:w="100"/>
              <w:left w:type="dxa" w:w="120"/>
              <w:bottom w:type="dxa" w:w="100"/>
              <w:right w:type="dxa" w:w="120"/>
            </w:tcMar>
          </w:tcPr>
          <w:p>
            <w:r>
              <w:rPr>
                <w:b/>
                <w:bCs/>
                <w:color w:val="162835"/>
                <w:sz w:val="20"/>
                <w:szCs w:val="20"/>
              </w:rPr>
              <w:t xml:space="preserve">In-context learning</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model using information placed directly in its prompt to reason, without any retraining or weight changes.</w:t>
            </w:r>
          </w:p>
        </w:tc>
      </w:tr>
      <w:tr>
        <w:tc>
          <w:tcPr>
            <w:tcW w:type="dxa" w:w="2500"/>
            <w:shd w:fill="FFFFFF" w:val="clear"/>
            <w:tcMar>
              <w:top w:type="dxa" w:w="100"/>
              <w:left w:type="dxa" w:w="120"/>
              <w:bottom w:type="dxa" w:w="100"/>
              <w:right w:type="dxa" w:w="120"/>
            </w:tcMar>
          </w:tcPr>
          <w:p>
            <w:r>
              <w:rPr>
                <w:b/>
                <w:bCs/>
                <w:color w:val="162835"/>
                <w:sz w:val="20"/>
                <w:szCs w:val="20"/>
              </w:rPr>
              <w:t xml:space="preserve">RAG (Retrieval-Augmented Generation)</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Finding relevant past information first, then asking a language model to reason over it — instead of relying on the model's memory alone.</w:t>
            </w:r>
          </w:p>
        </w:tc>
      </w:tr>
      <w:tr>
        <w:tc>
          <w:tcPr>
            <w:tcW w:type="dxa" w:w="2500"/>
            <w:shd w:fill="FFFFFF" w:val="clear"/>
            <w:tcMar>
              <w:top w:type="dxa" w:w="100"/>
              <w:left w:type="dxa" w:w="120"/>
              <w:bottom w:type="dxa" w:w="100"/>
              <w:right w:type="dxa" w:w="120"/>
            </w:tcMar>
          </w:tcPr>
          <w:p>
            <w:r>
              <w:rPr>
                <w:b/>
                <w:bCs/>
                <w:color w:val="162835"/>
                <w:sz w:val="20"/>
                <w:szCs w:val="20"/>
              </w:rPr>
              <w:t xml:space="preserve">Brute-force search</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Comparing a query against every single stored item to find the closest match — exact, and entirely practical at small scale.</w:t>
            </w:r>
          </w:p>
        </w:tc>
      </w:tr>
      <w:tr>
        <w:tc>
          <w:tcPr>
            <w:tcW w:type="dxa" w:w="2500"/>
            <w:shd w:fill="FFFFFF" w:val="clear"/>
            <w:tcMar>
              <w:top w:type="dxa" w:w="100"/>
              <w:left w:type="dxa" w:w="120"/>
              <w:bottom w:type="dxa" w:w="100"/>
              <w:right w:type="dxa" w:w="120"/>
            </w:tcMar>
          </w:tcPr>
          <w:p>
            <w:r>
              <w:rPr>
                <w:b/>
                <w:bCs/>
                <w:color w:val="162835"/>
                <w:sz w:val="20"/>
                <w:szCs w:val="20"/>
              </w:rPr>
              <w:t xml:space="preserve">Idempotency</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script or process that produces the same end result whether it's run once or run many times.</w:t>
            </w:r>
          </w:p>
        </w:tc>
      </w:tr>
      <w:tr>
        <w:tc>
          <w:tcPr>
            <w:tcW w:type="dxa" w:w="2500"/>
            <w:shd w:fill="FFFFFF" w:val="clear"/>
            <w:tcMar>
              <w:top w:type="dxa" w:w="100"/>
              <w:left w:type="dxa" w:w="120"/>
              <w:bottom w:type="dxa" w:w="100"/>
              <w:right w:type="dxa" w:w="120"/>
            </w:tcMar>
          </w:tcPr>
          <w:p>
            <w:r>
              <w:rPr>
                <w:b/>
                <w:bCs/>
                <w:color w:val="162835"/>
                <w:sz w:val="20"/>
                <w:szCs w:val="20"/>
              </w:rPr>
              <w:t xml:space="preserve">Rate limiting / exponential backoff</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An API rejecting requests that arrive too quickly; the reliable response is to wait, retry, and wait longer each time it fails again.</w:t>
            </w:r>
          </w:p>
        </w:tc>
      </w:tr>
      <w:tr>
        <w:tc>
          <w:tcPr>
            <w:tcW w:type="dxa" w:w="2500"/>
            <w:shd w:fill="FFFFFF" w:val="clear"/>
            <w:tcMar>
              <w:top w:type="dxa" w:w="100"/>
              <w:left w:type="dxa" w:w="120"/>
              <w:bottom w:type="dxa" w:w="100"/>
              <w:right w:type="dxa" w:w="120"/>
            </w:tcMar>
          </w:tcPr>
          <w:p>
            <w:r>
              <w:rPr>
                <w:b/>
                <w:bCs/>
                <w:color w:val="162835"/>
                <w:sz w:val="20"/>
                <w:szCs w:val="20"/>
              </w:rPr>
              <w:t xml:space="preserve">WRITE_TRUNCATE</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data-load setting that replaces everything already in a table with the new data being loaded, rather than adding to it.</w:t>
            </w:r>
          </w:p>
        </w:tc>
      </w:tr>
      <w:tr>
        <w:tc>
          <w:tcPr>
            <w:tcW w:type="dxa" w:w="2500"/>
            <w:shd w:fill="FFFFFF" w:val="clear"/>
            <w:tcMar>
              <w:top w:type="dxa" w:w="100"/>
              <w:left w:type="dxa" w:w="120"/>
              <w:bottom w:type="dxa" w:w="100"/>
              <w:right w:type="dxa" w:w="120"/>
            </w:tcMar>
          </w:tcPr>
          <w:p>
            <w:r>
              <w:rPr>
                <w:b/>
                <w:bCs/>
                <w:color w:val="162835"/>
                <w:sz w:val="20"/>
                <w:szCs w:val="20"/>
              </w:rPr>
              <w:t xml:space="preserve">Cloud Run Job vs. Service</w:t>
            </w:r>
          </w:p>
        </w:tc>
        <w:tc>
          <w:tcPr>
            <w:tcW w:type="dxa" w:w="6500"/>
            <w:shd w:fill="FFFFFF" w:val="clear"/>
            <w:tcMar>
              <w:top w:type="dxa" w:w="100"/>
              <w:left w:type="dxa" w:w="120"/>
              <w:bottom w:type="dxa" w:w="100"/>
              <w:right w:type="dxa" w:w="120"/>
            </w:tcMar>
          </w:tcPr>
          <w:p>
            <w:r>
              <w:rPr>
                <w:b w:val="false"/>
                <w:bCs w:val="false"/>
                <w:color w:val="1b2733"/>
                <w:sz w:val="20"/>
                <w:szCs w:val="20"/>
              </w:rPr>
              <w:t xml:space="preserve">A Job runs once to completion and stops (e.g. refreshing data); a Service stays running to answer requests as they arrive (e.g. a web 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36e"/>
        <w:sz w:val="16"/>
        <w:szCs w:val="16"/>
      </w:rPr>
      <w:t xml:space="preserve">Page </w:t>
    </w:r>
    <w:r>
      <w:rPr>
        <w:color w:val="5563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36e"/>
        <w:sz w:val="16"/>
        <w:szCs w:val="16"/>
      </w:rPr>
      <w:t xml:space="preserve">AIOps Virtual Agent —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62835"/>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077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Behind the AIOps Virtual Agent</dc:title>
  <dc:creator>Ramesh Muni</dc:creator>
  <cp:lastModifiedBy>Un-named</cp:lastModifiedBy>
  <cp:revision>1</cp:revision>
  <dcterms:created xsi:type="dcterms:W3CDTF">2026-09-05T16:53:56.568Z</dcterms:created>
  <dcterms:modified xsi:type="dcterms:W3CDTF">2026-09-05T16:53:56.569Z</dcterms:modified>
</cp:coreProperties>
</file>

<file path=docProps/custom.xml><?xml version="1.0" encoding="utf-8"?>
<Properties xmlns="http://schemas.openxmlformats.org/officeDocument/2006/custom-properties" xmlns:vt="http://schemas.openxmlformats.org/officeDocument/2006/docPropsVTypes"/>
</file>